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仿宋" w:hAnsi="仿宋" w:eastAsia="仿宋" w:cs="Times New Roman"/>
          <w:b/>
          <w:color w:val="000000"/>
          <w:w w:val="80"/>
          <w:sz w:val="72"/>
          <w:szCs w:val="72"/>
        </w:rPr>
      </w:pPr>
      <w:bookmarkStart w:id="0" w:name="_Hlk25088529"/>
      <w:bookmarkEnd w:id="0"/>
      <w:bookmarkStart w:id="1" w:name="_Hlk24613880"/>
    </w:p>
    <w:p>
      <w:pPr>
        <w:spacing w:line="276" w:lineRule="auto"/>
        <w:jc w:val="center"/>
        <w:rPr>
          <w:rFonts w:ascii="仿宋" w:hAnsi="仿宋" w:eastAsia="仿宋" w:cs="Times New Roman"/>
          <w:b/>
          <w:color w:val="000000"/>
          <w:w w:val="80"/>
          <w:sz w:val="72"/>
          <w:szCs w:val="72"/>
        </w:rPr>
      </w:pPr>
    </w:p>
    <w:p>
      <w:pPr>
        <w:spacing w:line="276" w:lineRule="auto"/>
        <w:jc w:val="center"/>
        <w:rPr>
          <w:rFonts w:ascii="仿宋" w:hAnsi="仿宋" w:eastAsia="仿宋" w:cs="Times New Roman"/>
          <w:b/>
          <w:color w:val="000000"/>
          <w:w w:val="80"/>
          <w:sz w:val="64"/>
          <w:szCs w:val="64"/>
        </w:rPr>
      </w:pPr>
      <w:r>
        <w:rPr>
          <w:rFonts w:hint="eastAsia" w:ascii="仿宋" w:hAnsi="仿宋" w:eastAsia="仿宋" w:cs="Times New Roman"/>
          <w:b/>
          <w:color w:val="000000"/>
          <w:w w:val="80"/>
          <w:sz w:val="64"/>
          <w:szCs w:val="64"/>
        </w:rPr>
        <w:t>海宁海橡鞋材有限公司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社</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责</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任</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rPr>
        <w:t>21年10月</w:t>
      </w:r>
    </w:p>
    <w:bookmarkEnd w:id="1"/>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bookmarkStart w:id="2" w:name="_Hlk24613918"/>
    </w:p>
    <w:p>
      <w:pPr>
        <w:pStyle w:val="91"/>
        <w:ind w:firstLine="640"/>
      </w:pPr>
      <w:r>
        <w:rPr>
          <w:rFonts w:hint="eastAsia"/>
        </w:rPr>
        <w:t>关于本报告</w:t>
      </w:r>
    </w:p>
    <w:p>
      <w:pPr>
        <w:pStyle w:val="90"/>
      </w:pPr>
      <w:bookmarkStart w:id="3" w:name="_Toc493596484"/>
      <w:r>
        <w:rPr>
          <w:rFonts w:hint="eastAsia"/>
        </w:rPr>
        <w:t xml:space="preserve">1 </w:t>
      </w:r>
      <w:bookmarkEnd w:id="3"/>
      <w:r>
        <w:rPr>
          <w:rFonts w:hint="eastAsia"/>
        </w:rPr>
        <w:t>报告范围</w:t>
      </w:r>
    </w:p>
    <w:p>
      <w:pPr>
        <w:ind w:firstLine="420"/>
      </w:pPr>
      <w:r>
        <w:rPr>
          <w:rFonts w:hint="eastAsia"/>
        </w:rPr>
        <w:t>本报告以海宁海橡鞋材有限公司为主体，披露了2021年企业履行政治、经济、社会和生态责任方面的内容。</w:t>
      </w:r>
    </w:p>
    <w:p>
      <w:pPr>
        <w:pStyle w:val="90"/>
      </w:pPr>
      <w:r>
        <w:rPr>
          <w:rFonts w:hint="eastAsia"/>
        </w:rPr>
        <w:t>2 称谓说明</w:t>
      </w:r>
    </w:p>
    <w:p>
      <w:pPr>
        <w:ind w:firstLine="420"/>
      </w:pPr>
      <w:r>
        <w:rPr>
          <w:rFonts w:hint="eastAsia"/>
        </w:rPr>
        <w:t>为表述方便，报告把“海宁海橡鞋材有限公司”简称为“海橡鞋材”。</w:t>
      </w:r>
    </w:p>
    <w:p>
      <w:pPr>
        <w:pStyle w:val="90"/>
      </w:pPr>
      <w:bookmarkStart w:id="4" w:name="_Toc493596487"/>
      <w:r>
        <w:rPr>
          <w:rFonts w:hint="eastAsia"/>
        </w:rPr>
        <w:t>3 报告时间</w:t>
      </w:r>
      <w:bookmarkEnd w:id="4"/>
      <w:r>
        <w:rPr>
          <w:rFonts w:hint="eastAsia"/>
        </w:rPr>
        <w:t>和频次</w:t>
      </w:r>
    </w:p>
    <w:p>
      <w:pPr>
        <w:ind w:firstLine="420"/>
        <w:rPr>
          <w:rFonts w:ascii="宋体" w:hAnsi="宋体" w:eastAsia="宋体"/>
        </w:rPr>
      </w:pPr>
      <w:r>
        <w:rPr>
          <w:rFonts w:hint="eastAsia" w:ascii="宋体" w:hAnsi="宋体" w:eastAsia="宋体"/>
        </w:rPr>
        <w:t>20</w:t>
      </w:r>
      <w:r>
        <w:rPr>
          <w:rFonts w:hint="eastAsia" w:ascii="宋体" w:hAnsi="宋体" w:eastAsia="宋体"/>
          <w:lang w:val="en-US" w:eastAsia="zh-CN"/>
        </w:rPr>
        <w:t>21</w:t>
      </w:r>
      <w:r>
        <w:rPr>
          <w:rFonts w:hint="eastAsia" w:ascii="宋体" w:hAnsi="宋体" w:eastAsia="宋体"/>
        </w:rPr>
        <w:t>年1月1日至202</w:t>
      </w:r>
      <w:r>
        <w:rPr>
          <w:rFonts w:hint="eastAsia" w:ascii="宋体" w:hAnsi="宋体" w:eastAsia="宋体"/>
          <w:lang w:val="en-US" w:eastAsia="zh-CN"/>
        </w:rPr>
        <w:t>1</w:t>
      </w:r>
      <w:r>
        <w:rPr>
          <w:rFonts w:hint="eastAsia" w:ascii="宋体" w:hAnsi="宋体" w:eastAsia="宋体"/>
        </w:rPr>
        <w:t>年12月31日，部分数据及内容超出上述范围。</w:t>
      </w:r>
    </w:p>
    <w:p>
      <w:pPr>
        <w:ind w:firstLine="420"/>
        <w:rPr>
          <w:rFonts w:ascii="宋体" w:hAnsi="宋体" w:eastAsia="宋体"/>
        </w:rPr>
      </w:pPr>
      <w:r>
        <w:rPr>
          <w:rFonts w:hint="eastAsia" w:ascii="宋体" w:hAnsi="宋体" w:eastAsia="宋体"/>
        </w:rPr>
        <w:t>本报告为年度报告。</w:t>
      </w:r>
    </w:p>
    <w:bookmarkEnd w:id="2"/>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pStyle w:val="51"/>
        <w:numPr>
          <w:ilvl w:val="0"/>
          <w:numId w:val="1"/>
        </w:numPr>
        <w:spacing w:beforeLines="50" w:afterLines="50" w:line="360" w:lineRule="auto"/>
        <w:ind w:firstLineChars="0"/>
        <w:outlineLvl w:val="0"/>
        <w:rPr>
          <w:rFonts w:asciiTheme="majorEastAsia" w:hAnsiTheme="majorEastAsia" w:eastAsiaTheme="majorEastAsia"/>
          <w:b/>
          <w:color w:val="000000" w:themeColor="text1"/>
          <w:sz w:val="28"/>
          <w:szCs w:val="24"/>
        </w:rPr>
      </w:pPr>
      <w:bookmarkStart w:id="5" w:name="_Toc451610984"/>
      <w:bookmarkStart w:id="6" w:name="_Toc451610891"/>
      <w:r>
        <w:rPr>
          <w:rFonts w:hint="eastAsia" w:asciiTheme="majorEastAsia" w:hAnsiTheme="majorEastAsia" w:eastAsiaTheme="majorEastAsia"/>
          <w:b/>
          <w:color w:val="000000" w:themeColor="text1"/>
          <w:sz w:val="28"/>
          <w:szCs w:val="24"/>
        </w:rPr>
        <w:t>海宁海橡鞋材有限公司</w:t>
      </w:r>
      <w:r>
        <w:rPr>
          <w:rFonts w:asciiTheme="majorEastAsia" w:hAnsiTheme="majorEastAsia" w:eastAsiaTheme="majorEastAsia"/>
          <w:b/>
          <w:color w:val="000000" w:themeColor="text1"/>
          <w:sz w:val="28"/>
          <w:szCs w:val="24"/>
        </w:rPr>
        <w:t>简介</w:t>
      </w:r>
      <w:r>
        <w:rPr>
          <w:rFonts w:hint="eastAsia" w:asciiTheme="majorEastAsia" w:hAnsiTheme="majorEastAsia" w:eastAsiaTheme="majorEastAsia"/>
          <w:b/>
          <w:color w:val="000000" w:themeColor="text1"/>
          <w:sz w:val="28"/>
          <w:szCs w:val="24"/>
        </w:rPr>
        <w:t>和企业文化</w:t>
      </w:r>
    </w:p>
    <w:p>
      <w:pPr>
        <w:pStyle w:val="51"/>
        <w:spacing w:beforeLines="50" w:afterLines="50" w:line="360" w:lineRule="auto"/>
        <w:ind w:firstLine="0" w:firstLineChars="0"/>
        <w:outlineLvl w:val="0"/>
        <w:rPr>
          <w:rFonts w:asciiTheme="majorEastAsia" w:hAnsiTheme="majorEastAsia" w:eastAsiaTheme="majorEastAsia"/>
          <w:b/>
          <w:color w:val="000000" w:themeColor="text1"/>
          <w:sz w:val="28"/>
          <w:szCs w:val="24"/>
        </w:rPr>
      </w:pPr>
    </w:p>
    <w:p>
      <w:pPr>
        <w:pStyle w:val="51"/>
        <w:spacing w:beforeLines="50" w:afterLines="50" w:line="360" w:lineRule="auto"/>
        <w:ind w:firstLine="0" w:firstLineChars="0"/>
        <w:outlineLvl w:val="0"/>
        <w:rPr>
          <w:rFonts w:asciiTheme="majorEastAsia" w:hAnsiTheme="majorEastAsia" w:eastAsiaTheme="majorEastAsia"/>
          <w:b/>
          <w:color w:val="000000" w:themeColor="text1"/>
          <w:sz w:val="28"/>
          <w:szCs w:val="24"/>
        </w:rPr>
      </w:pPr>
      <w:r>
        <w:rPr>
          <w:rFonts w:hint="eastAsia" w:asciiTheme="majorEastAsia" w:hAnsiTheme="majorEastAsia" w:eastAsiaTheme="majorEastAsia"/>
          <w:b/>
          <w:color w:val="000000" w:themeColor="text1"/>
          <w:sz w:val="28"/>
          <w:szCs w:val="24"/>
        </w:rPr>
        <w:t>1.公司简介</w:t>
      </w:r>
    </w:p>
    <w:p>
      <w:pPr>
        <w:pStyle w:val="19"/>
        <w:spacing w:line="240" w:lineRule="auto"/>
        <w:ind w:firstLineChars="0"/>
        <w:jc w:val="center"/>
        <w:rPr>
          <w:rFonts w:ascii="宋体" w:hAnsi="宋体" w:eastAsia="宋体"/>
          <w:b/>
          <w:bCs/>
          <w:szCs w:val="24"/>
        </w:rPr>
      </w:pPr>
      <w:r>
        <w:rPr>
          <w:rFonts w:hint="eastAsia" w:ascii="宋体" w:hAnsi="宋体"/>
          <w:b/>
          <w:bCs/>
          <w:sz w:val="40"/>
          <w:szCs w:val="40"/>
        </w:rPr>
        <w:t>公司简介</w:t>
      </w:r>
    </w:p>
    <w:p>
      <w:pPr>
        <w:pStyle w:val="19"/>
        <w:spacing w:line="240" w:lineRule="auto"/>
        <w:ind w:firstLineChars="0"/>
        <w:jc w:val="left"/>
        <w:rPr>
          <w:rFonts w:ascii="宋体" w:hAnsi="宋体"/>
          <w:b/>
          <w:bCs/>
          <w:szCs w:val="24"/>
        </w:rPr>
      </w:pPr>
    </w:p>
    <w:p>
      <w:pPr>
        <w:spacing w:line="480" w:lineRule="exact"/>
        <w:ind w:left="1" w:right="120" w:firstLine="480"/>
        <w:rPr>
          <w:rFonts w:asciiTheme="minorEastAsia" w:hAnsiTheme="minorEastAsia" w:cstheme="minorEastAsia"/>
          <w:sz w:val="24"/>
        </w:rPr>
      </w:pPr>
      <w:r>
        <w:rPr>
          <w:rFonts w:hint="eastAsia" w:asciiTheme="minorEastAsia" w:hAnsiTheme="minorEastAsia" w:cstheme="minorEastAsia"/>
          <w:sz w:val="24"/>
        </w:rPr>
        <w:t>海宁海橡集团有限公司(及其控股子公司海宁海橡鞋材有限公司)系国内鞋材专业生产企业，始建于1976年，在跨越46年的岁月历程中，企业既承受了曲折和艰辛，也经历了开拓和发展，目前已成为一家拥有总资产</w:t>
      </w:r>
      <w:r>
        <w:rPr>
          <w:rFonts w:hint="eastAsia" w:asciiTheme="minorEastAsia" w:hAnsiTheme="minorEastAsia" w:cstheme="minorEastAsia"/>
          <w:sz w:val="24"/>
          <w:lang w:eastAsia="zh-CN"/>
        </w:rPr>
        <w:t>近</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亿元的国内鞋材业龙头企业。</w:t>
      </w:r>
    </w:p>
    <w:p>
      <w:pPr>
        <w:spacing w:line="480" w:lineRule="exact"/>
        <w:ind w:left="1" w:right="120" w:firstLine="480"/>
        <w:rPr>
          <w:rFonts w:asciiTheme="minorEastAsia" w:hAnsiTheme="minorEastAsia" w:cstheme="minorEastAsia"/>
          <w:sz w:val="24"/>
        </w:rPr>
      </w:pPr>
      <w:r>
        <w:rPr>
          <w:rFonts w:hint="eastAsia" w:asciiTheme="minorEastAsia" w:hAnsiTheme="minorEastAsia" w:cstheme="minorEastAsia"/>
          <w:sz w:val="24"/>
        </w:rPr>
        <w:t>在引导企业的发展过程中，公司进行不断的技改投入，努力迎合市场，满足客户的需求，通过技改的投入，有利了市场的开拓，公司产品已为达芙妮、奥康、</w:t>
      </w:r>
      <w:r>
        <w:rPr>
          <w:rFonts w:hint="eastAsia" w:asciiTheme="minorEastAsia" w:hAnsiTheme="minorEastAsia" w:cstheme="minorEastAsia"/>
          <w:sz w:val="24"/>
          <w:lang w:eastAsia="zh-CN"/>
        </w:rPr>
        <w:t>康奈</w:t>
      </w:r>
      <w:r>
        <w:rPr>
          <w:rFonts w:hint="eastAsia" w:asciiTheme="minorEastAsia" w:hAnsiTheme="minorEastAsia" w:cstheme="minorEastAsia"/>
          <w:sz w:val="24"/>
        </w:rPr>
        <w:t>、红晴蜓、</w:t>
      </w:r>
      <w:r>
        <w:rPr>
          <w:rFonts w:hint="eastAsia" w:asciiTheme="minorEastAsia" w:hAnsiTheme="minorEastAsia" w:cstheme="minorEastAsia"/>
          <w:sz w:val="24"/>
          <w:lang w:eastAsia="zh-CN"/>
        </w:rPr>
        <w:t>森达</w:t>
      </w:r>
      <w:r>
        <w:rPr>
          <w:rFonts w:hint="eastAsia" w:asciiTheme="minorEastAsia" w:hAnsiTheme="minorEastAsia" w:cstheme="minorEastAsia"/>
          <w:sz w:val="24"/>
        </w:rPr>
        <w:t>等鞋王企业所选用，并与之建立了良好的业务关系。近年来，企业在注重扩大内销市场，提高市场占有率的同时，积极开拓外贸市场，公司利用自营进出口权的优势，通过交易会和网上交易，广交外商客户，产品已远销韩、日、巴基斯坦</w:t>
      </w:r>
      <w:r>
        <w:rPr>
          <w:rFonts w:hint="eastAsia" w:asciiTheme="minorEastAsia" w:hAnsiTheme="minorEastAsia" w:cstheme="minorEastAsia"/>
          <w:sz w:val="24"/>
          <w:lang w:eastAsia="zh-CN"/>
        </w:rPr>
        <w:t>、南美</w:t>
      </w:r>
      <w:r>
        <w:rPr>
          <w:rFonts w:hint="eastAsia" w:asciiTheme="minorEastAsia" w:hAnsiTheme="minorEastAsia" w:cstheme="minorEastAsia"/>
          <w:sz w:val="24"/>
        </w:rPr>
        <w:t>等</w:t>
      </w:r>
      <w:r>
        <w:rPr>
          <w:rFonts w:hint="eastAsia" w:asciiTheme="minorEastAsia" w:hAnsiTheme="minorEastAsia" w:cstheme="minorEastAsia"/>
          <w:sz w:val="24"/>
          <w:lang w:eastAsia="zh-CN"/>
        </w:rPr>
        <w:t>十多个</w:t>
      </w:r>
      <w:r>
        <w:rPr>
          <w:rFonts w:hint="eastAsia" w:asciiTheme="minorEastAsia" w:hAnsiTheme="minorEastAsia" w:cstheme="minorEastAsia"/>
          <w:sz w:val="24"/>
        </w:rPr>
        <w:t>国家及东南亚地区，外贸出口交货值不断上升。</w:t>
      </w:r>
      <w:r>
        <w:rPr>
          <w:rFonts w:hint="eastAsia" w:asciiTheme="minorEastAsia" w:hAnsiTheme="minorEastAsia" w:cstheme="minorEastAsia"/>
          <w:sz w:val="24"/>
          <w:lang w:eastAsia="zh-CN"/>
        </w:rPr>
        <w:t>同时积极拓展国际军用大底市场，增加国内警用鞋底市场份额，生产配套的鞋底，让海橡的鞋底不断做大做强。</w:t>
      </w:r>
      <w:r>
        <w:rPr>
          <w:rFonts w:hint="eastAsia" w:asciiTheme="minorEastAsia" w:hAnsiTheme="minorEastAsia" w:cstheme="minorEastAsia"/>
          <w:sz w:val="24"/>
        </w:rPr>
        <w:t>与此同时，公司在加强和提高企业参与市场竞争能力的方面，努力进行工艺改造， 2007年对前道生产工艺进行了突破性的改进，直出工艺顺利实施，2013-2014年企业易地搬迁，“机器换人”和转型升级，达到了提高质量、降低消耗和增产扩能的目的，使企业在规模、技术和质量等方面有了一个飞跃，达到国内领先水平。</w:t>
      </w:r>
    </w:p>
    <w:p>
      <w:pPr>
        <w:spacing w:line="480" w:lineRule="exact"/>
        <w:ind w:left="1" w:right="120" w:firstLine="480"/>
        <w:rPr>
          <w:rFonts w:asciiTheme="minorEastAsia" w:hAnsiTheme="minorEastAsia" w:cstheme="minorEastAsia"/>
          <w:sz w:val="24"/>
        </w:rPr>
      </w:pPr>
      <w:r>
        <w:rPr>
          <w:rFonts w:hint="eastAsia" w:asciiTheme="minorEastAsia" w:hAnsiTheme="minorEastAsia" w:cstheme="minorEastAsia"/>
          <w:sz w:val="24"/>
        </w:rPr>
        <w:t>公司已经形成相对完善的设计研发体系、生产制造体系、销售渠道和规范的管理体系。以实现公司的可持续发展，增强企业凝聚力、竞争力和提升企业的综合实力等为目标编制企业五年发展战略规划，为企业和员工树立共同发展目标和愿景，指引企业和员工进入新的征程。</w:t>
      </w:r>
    </w:p>
    <w:p>
      <w:pPr>
        <w:spacing w:line="400" w:lineRule="exact"/>
        <w:jc w:val="left"/>
        <w:rPr>
          <w:rFonts w:ascii="宋体" w:hAnsi="宋体"/>
          <w:b/>
          <w:bCs/>
          <w:sz w:val="28"/>
          <w:szCs w:val="24"/>
        </w:rPr>
      </w:pPr>
    </w:p>
    <w:p>
      <w:pPr>
        <w:spacing w:line="400" w:lineRule="exact"/>
        <w:jc w:val="left"/>
        <w:rPr>
          <w:rFonts w:ascii="宋体" w:hAnsi="宋体"/>
          <w:b/>
          <w:bCs/>
          <w:sz w:val="28"/>
          <w:szCs w:val="24"/>
        </w:rPr>
      </w:pPr>
    </w:p>
    <w:p>
      <w:pPr>
        <w:spacing w:line="400" w:lineRule="exact"/>
        <w:jc w:val="left"/>
        <w:rPr>
          <w:rFonts w:ascii="宋体" w:hAnsi="宋体"/>
          <w:b/>
          <w:bCs/>
          <w:sz w:val="28"/>
          <w:szCs w:val="24"/>
        </w:rPr>
      </w:pPr>
    </w:p>
    <w:p>
      <w:pPr>
        <w:spacing w:line="400" w:lineRule="exact"/>
        <w:jc w:val="left"/>
        <w:rPr>
          <w:rFonts w:ascii="宋体" w:hAnsi="宋体"/>
          <w:b/>
          <w:bCs/>
          <w:sz w:val="28"/>
          <w:szCs w:val="24"/>
        </w:rPr>
      </w:pPr>
    </w:p>
    <w:p>
      <w:pPr>
        <w:spacing w:line="400" w:lineRule="exact"/>
        <w:jc w:val="left"/>
        <w:rPr>
          <w:rFonts w:ascii="宋体" w:hAnsi="宋体"/>
          <w:b/>
          <w:bCs/>
          <w:sz w:val="28"/>
          <w:szCs w:val="24"/>
        </w:rPr>
      </w:pPr>
    </w:p>
    <w:p>
      <w:pPr>
        <w:spacing w:line="400" w:lineRule="exact"/>
        <w:jc w:val="left"/>
        <w:rPr>
          <w:rFonts w:ascii="宋体" w:hAnsi="宋体"/>
          <w:b/>
          <w:bCs/>
          <w:sz w:val="28"/>
          <w:szCs w:val="24"/>
        </w:rPr>
      </w:pPr>
    </w:p>
    <w:p>
      <w:pPr>
        <w:spacing w:line="400" w:lineRule="exact"/>
        <w:jc w:val="left"/>
        <w:rPr>
          <w:rFonts w:ascii="宋体" w:hAnsi="宋体"/>
          <w:b/>
          <w:bCs/>
          <w:sz w:val="28"/>
          <w:szCs w:val="24"/>
        </w:rPr>
      </w:pPr>
      <w:r>
        <w:rPr>
          <w:rFonts w:hint="eastAsia" w:ascii="宋体" w:hAnsi="宋体"/>
          <w:b/>
          <w:bCs/>
          <w:sz w:val="28"/>
          <w:szCs w:val="24"/>
        </w:rPr>
        <w:t>2.企业文化</w:t>
      </w:r>
    </w:p>
    <w:p>
      <w:pPr>
        <w:pStyle w:val="51"/>
        <w:numPr>
          <w:ilvl w:val="0"/>
          <w:numId w:val="2"/>
        </w:numPr>
        <w:spacing w:before="163" w:after="163"/>
        <w:ind w:firstLineChars="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公司的核心价值观</w:t>
      </w:r>
    </w:p>
    <w:p>
      <w:pPr>
        <w:pStyle w:val="51"/>
        <w:spacing w:before="163" w:after="163"/>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创造价值</w:t>
      </w:r>
    </w:p>
    <w:p>
      <w:pPr>
        <w:pStyle w:val="51"/>
        <w:spacing w:before="163" w:after="163"/>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关爱员工 </w:t>
      </w:r>
    </w:p>
    <w:p>
      <w:pPr>
        <w:pStyle w:val="51"/>
        <w:spacing w:before="163" w:after="163"/>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回馈社会         </w:t>
      </w:r>
    </w:p>
    <w:p>
      <w:pPr>
        <w:pStyle w:val="51"/>
        <w:numPr>
          <w:ilvl w:val="0"/>
          <w:numId w:val="2"/>
        </w:numPr>
        <w:spacing w:before="163" w:after="163"/>
        <w:ind w:firstLineChars="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公司的质量方针</w:t>
      </w:r>
    </w:p>
    <w:p>
      <w:pPr>
        <w:spacing w:line="240" w:lineRule="auto"/>
        <w:jc w:val="left"/>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cstheme="minorEastAsia"/>
          <w:sz w:val="24"/>
        </w:rPr>
        <w:t xml:space="preserve">        ●</w:t>
      </w:r>
      <w:r>
        <w:rPr>
          <w:rFonts w:hint="eastAsia" w:asciiTheme="minorEastAsia" w:hAnsiTheme="minorEastAsia" w:eastAsiaTheme="minorEastAsia" w:cstheme="minorEastAsia"/>
          <w:kern w:val="2"/>
          <w:sz w:val="24"/>
          <w:szCs w:val="22"/>
          <w:lang w:val="en-US" w:eastAsia="zh-CN" w:bidi="ar-SA"/>
        </w:rPr>
        <w:t xml:space="preserve"> 完善管理  确保质量</w:t>
      </w:r>
    </w:p>
    <w:p>
      <w:pPr>
        <w:jc w:val="left"/>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kern w:val="2"/>
          <w:sz w:val="24"/>
          <w:szCs w:val="22"/>
          <w:lang w:val="en-US" w:eastAsia="zh-CN" w:bidi="ar-SA"/>
        </w:rPr>
        <w:t xml:space="preserve">        ● 持续改进  客户满意</w:t>
      </w:r>
    </w:p>
    <w:p>
      <w:pPr>
        <w:pStyle w:val="51"/>
        <w:spacing w:before="163" w:after="163"/>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3、公司的企业精神</w:t>
      </w:r>
    </w:p>
    <w:p>
      <w:pPr>
        <w:jc w:val="left"/>
        <w:rPr>
          <w:rFonts w:asciiTheme="minorEastAsia" w:hAnsiTheme="minorEastAsia" w:cstheme="minorEastAsia"/>
          <w:sz w:val="24"/>
        </w:rPr>
      </w:pPr>
      <w:r>
        <w:rPr>
          <w:rFonts w:hint="eastAsia" w:asciiTheme="minorEastAsia" w:hAnsiTheme="minorEastAsia" w:cstheme="minorEastAsia"/>
          <w:sz w:val="24"/>
        </w:rPr>
        <w:t xml:space="preserve">        ● 以人为本  以质取胜</w:t>
      </w:r>
    </w:p>
    <w:p>
      <w:pPr>
        <w:jc w:val="left"/>
        <w:rPr>
          <w:rFonts w:asciiTheme="minorEastAsia" w:hAnsiTheme="minorEastAsia" w:cstheme="minorEastAsia"/>
          <w:sz w:val="24"/>
        </w:rPr>
      </w:pPr>
      <w:r>
        <w:rPr>
          <w:rFonts w:hint="eastAsia" w:asciiTheme="minorEastAsia" w:hAnsiTheme="minorEastAsia" w:cstheme="minorEastAsia"/>
          <w:sz w:val="24"/>
        </w:rPr>
        <w:t xml:space="preserve">        ● 开拓创新  争创一流</w:t>
      </w:r>
    </w:p>
    <w:p>
      <w:pPr>
        <w:pStyle w:val="51"/>
        <w:spacing w:before="163" w:after="163"/>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4、公司的员工职责</w:t>
      </w:r>
    </w:p>
    <w:p>
      <w:pPr>
        <w:ind w:firstLine="960" w:firstLineChars="400"/>
        <w:jc w:val="left"/>
        <w:rPr>
          <w:rFonts w:asciiTheme="minorEastAsia" w:hAnsiTheme="minorEastAsia" w:cstheme="minorEastAsia"/>
          <w:sz w:val="24"/>
        </w:rPr>
      </w:pPr>
      <w:r>
        <w:rPr>
          <w:rFonts w:hint="eastAsia" w:asciiTheme="minorEastAsia" w:hAnsiTheme="minorEastAsia" w:cstheme="minorEastAsia"/>
          <w:sz w:val="24"/>
        </w:rPr>
        <w:t>● 坚守诚信品质</w:t>
      </w:r>
    </w:p>
    <w:p>
      <w:pPr>
        <w:jc w:val="left"/>
        <w:rPr>
          <w:rFonts w:asciiTheme="minorEastAsia" w:hAnsiTheme="minorEastAsia" w:cstheme="minorEastAsia"/>
          <w:sz w:val="24"/>
        </w:rPr>
      </w:pPr>
      <w:r>
        <w:rPr>
          <w:rFonts w:hint="eastAsia" w:asciiTheme="minorEastAsia" w:hAnsiTheme="minorEastAsia" w:cstheme="minorEastAsia"/>
          <w:sz w:val="24"/>
        </w:rPr>
        <w:t xml:space="preserve">        ● 严格履行职责</w:t>
      </w:r>
    </w:p>
    <w:p>
      <w:pPr>
        <w:pStyle w:val="51"/>
        <w:spacing w:before="163" w:after="163"/>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5、公司的经营目标</w:t>
      </w:r>
    </w:p>
    <w:p>
      <w:pPr>
        <w:ind w:firstLine="960" w:firstLineChars="400"/>
        <w:jc w:val="left"/>
        <w:rPr>
          <w:rFonts w:hint="eastAsia" w:asciiTheme="minorEastAsia" w:hAnsiTheme="minorEastAsia" w:cstheme="minorEastAsia"/>
          <w:sz w:val="24"/>
          <w:lang w:val="zh-CN"/>
        </w:rPr>
      </w:pPr>
      <w:r>
        <w:rPr>
          <w:rFonts w:hint="eastAsia" w:asciiTheme="minorEastAsia" w:hAnsiTheme="minorEastAsia" w:cstheme="minorEastAsia"/>
          <w:sz w:val="24"/>
        </w:rPr>
        <w:t xml:space="preserve">● </w:t>
      </w:r>
      <w:r>
        <w:rPr>
          <w:rFonts w:hint="eastAsia" w:asciiTheme="minorEastAsia" w:hAnsiTheme="minorEastAsia" w:cstheme="minorEastAsia"/>
          <w:sz w:val="24"/>
          <w:lang w:val="zh-CN"/>
        </w:rPr>
        <w:t>海橡鞋材</w:t>
      </w:r>
      <w:r>
        <w:rPr>
          <w:rFonts w:hint="eastAsia" w:asciiTheme="minorEastAsia" w:hAnsiTheme="minorEastAsia" w:cstheme="minorEastAsia"/>
          <w:sz w:val="24"/>
        </w:rPr>
        <w:t xml:space="preserve">  </w:t>
      </w:r>
      <w:r>
        <w:rPr>
          <w:rFonts w:hint="eastAsia" w:asciiTheme="minorEastAsia" w:hAnsiTheme="minorEastAsia" w:cstheme="minorEastAsia"/>
          <w:sz w:val="24"/>
          <w:lang w:val="zh-CN"/>
        </w:rPr>
        <w:t>立足全球</w:t>
      </w:r>
    </w:p>
    <w:p>
      <w:pPr>
        <w:pStyle w:val="51"/>
        <w:spacing w:before="163" w:after="163"/>
        <w:ind w:firstLine="48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6、环境方针</w:t>
      </w:r>
    </w:p>
    <w:p>
      <w:pPr>
        <w:pStyle w:val="51"/>
        <w:spacing w:before="163" w:after="163"/>
        <w:ind w:firstLine="960" w:firstLineChars="4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遵守法规</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减废防污</w:t>
      </w:r>
    </w:p>
    <w:p>
      <w:pPr>
        <w:pStyle w:val="51"/>
        <w:spacing w:before="163" w:after="163"/>
        <w:ind w:firstLine="960" w:firstLineChars="4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全员参与</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绿色环保</w:t>
      </w:r>
    </w:p>
    <w:p>
      <w:pPr>
        <w:pStyle w:val="51"/>
        <w:spacing w:before="163" w:after="163"/>
        <w:ind w:firstLine="48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7、经营理念</w:t>
      </w:r>
    </w:p>
    <w:p>
      <w:pPr>
        <w:pStyle w:val="51"/>
        <w:spacing w:before="163" w:after="163"/>
        <w:ind w:firstLine="960" w:firstLineChars="4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诚信务实</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持续改善</w:t>
      </w:r>
    </w:p>
    <w:p>
      <w:pPr>
        <w:pStyle w:val="51"/>
        <w:spacing w:before="163" w:after="163"/>
        <w:ind w:firstLine="960" w:firstLineChars="4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永续经营</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社会责任</w:t>
      </w:r>
    </w:p>
    <w:p>
      <w:pPr>
        <w:pStyle w:val="51"/>
        <w:spacing w:before="163" w:after="163"/>
        <w:ind w:firstLine="480"/>
        <w:rPr>
          <w:rFonts w:hint="eastAsia" w:asciiTheme="minorEastAsia" w:hAnsiTheme="minorEastAsia" w:eastAsiaTheme="minorEastAsia" w:cstheme="minorEastAsia"/>
          <w:sz w:val="24"/>
          <w:lang w:val="zh-CN"/>
        </w:rPr>
      </w:pPr>
    </w:p>
    <w:p>
      <w:pPr>
        <w:spacing w:beforeLines="50" w:afterLines="50" w:line="360" w:lineRule="auto"/>
        <w:outlineLvl w:val="0"/>
        <w:rPr>
          <w:rFonts w:cs="Times New Roman" w:asciiTheme="majorEastAsia" w:hAnsiTheme="majorEastAsia" w:eastAsiaTheme="majorEastAsia"/>
          <w:b/>
          <w:color w:val="000000" w:themeColor="text1"/>
          <w:sz w:val="28"/>
          <w:szCs w:val="24"/>
        </w:rPr>
      </w:pPr>
    </w:p>
    <w:p>
      <w:pPr>
        <w:spacing w:beforeLines="50" w:afterLines="50" w:line="360" w:lineRule="auto"/>
        <w:outlineLvl w:val="0"/>
        <w:rPr>
          <w:rFonts w:cs="Times New Roman" w:asciiTheme="majorEastAsia" w:hAnsiTheme="majorEastAsia" w:eastAsiaTheme="majorEastAsia"/>
          <w:b/>
          <w:color w:val="000000" w:themeColor="text1"/>
          <w:sz w:val="28"/>
          <w:szCs w:val="24"/>
        </w:rPr>
      </w:pPr>
    </w:p>
    <w:p>
      <w:pPr>
        <w:spacing w:beforeLines="50" w:afterLines="50" w:line="360" w:lineRule="auto"/>
        <w:outlineLvl w:val="0"/>
        <w:rPr>
          <w:rFonts w:cs="Times New Roman" w:asciiTheme="majorEastAsia" w:hAnsiTheme="majorEastAsia" w:eastAsiaTheme="majorEastAsia"/>
          <w:b/>
          <w:color w:val="000000" w:themeColor="text1"/>
          <w:sz w:val="28"/>
          <w:szCs w:val="24"/>
        </w:rPr>
      </w:pPr>
    </w:p>
    <w:p>
      <w:pPr>
        <w:spacing w:beforeLines="50" w:afterLines="50" w:line="360" w:lineRule="auto"/>
        <w:outlineLvl w:val="0"/>
        <w:rPr>
          <w:rFonts w:cs="Times New Roman" w:asciiTheme="majorEastAsia" w:hAnsiTheme="majorEastAsia" w:eastAsiaTheme="majorEastAsia"/>
          <w:b/>
          <w:color w:val="000000" w:themeColor="text1"/>
          <w:sz w:val="28"/>
          <w:szCs w:val="24"/>
        </w:rPr>
      </w:pPr>
    </w:p>
    <w:p>
      <w:pPr>
        <w:spacing w:beforeLines="50" w:afterLines="50" w:line="360"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二、</w:t>
      </w:r>
      <w:r>
        <w:rPr>
          <w:rFonts w:cs="Times New Roman" w:asciiTheme="majorEastAsia" w:hAnsiTheme="majorEastAsia" w:eastAsiaTheme="majorEastAsia"/>
          <w:b/>
          <w:color w:val="000000" w:themeColor="text1"/>
          <w:sz w:val="28"/>
          <w:szCs w:val="24"/>
        </w:rPr>
        <w:t>组织架构</w:t>
      </w:r>
      <w:r>
        <w:rPr>
          <w:rFonts w:hint="eastAsia" w:cs="Times New Roman" w:asciiTheme="majorEastAsia" w:hAnsiTheme="majorEastAsia" w:eastAsiaTheme="majorEastAsia"/>
          <w:b/>
          <w:color w:val="000000" w:themeColor="text1"/>
          <w:sz w:val="28"/>
          <w:szCs w:val="24"/>
        </w:rPr>
        <w:t>及</w:t>
      </w:r>
      <w:r>
        <w:rPr>
          <w:rFonts w:cs="Times New Roman" w:asciiTheme="majorEastAsia" w:hAnsiTheme="majorEastAsia" w:eastAsiaTheme="majorEastAsia"/>
          <w:b/>
          <w:color w:val="000000" w:themeColor="text1"/>
          <w:sz w:val="28"/>
          <w:szCs w:val="24"/>
        </w:rPr>
        <w:t>主要产品</w:t>
      </w:r>
    </w:p>
    <w:p>
      <w:pPr>
        <w:spacing w:beforeLines="50" w:afterLines="50" w:line="360" w:lineRule="auto"/>
        <w:outlineLvl w:val="0"/>
        <w:rPr>
          <w:rFonts w:cs="Times New Roman" w:asciiTheme="majorEastAsia" w:hAnsiTheme="majorEastAsia" w:eastAsiaTheme="majorEastAsia"/>
          <w:b/>
          <w:color w:val="000000" w:themeColor="text1"/>
          <w:sz w:val="24"/>
          <w:szCs w:val="24"/>
        </w:rPr>
      </w:pPr>
      <w:r>
        <w:rPr>
          <w:rFonts w:cs="Times New Roman" w:asciiTheme="majorEastAsia" w:hAnsiTheme="majorEastAsia" w:eastAsiaTheme="majorEastAsia"/>
          <w:b/>
          <w:color w:val="000000" w:themeColor="text1"/>
          <w:sz w:val="24"/>
          <w:szCs w:val="24"/>
        </w:rPr>
        <w:t>1</w:t>
      </w:r>
      <w:r>
        <w:rPr>
          <w:rFonts w:hint="eastAsia" w:cs="Times New Roman" w:asciiTheme="majorEastAsia" w:hAnsiTheme="majorEastAsia" w:eastAsiaTheme="majorEastAsia"/>
          <w:b/>
          <w:color w:val="000000" w:themeColor="text1"/>
          <w:sz w:val="24"/>
          <w:szCs w:val="24"/>
        </w:rPr>
        <w:t>、组织</w:t>
      </w:r>
      <w:r>
        <w:rPr>
          <w:rFonts w:cs="Times New Roman" w:asciiTheme="majorEastAsia" w:hAnsiTheme="majorEastAsia" w:eastAsiaTheme="majorEastAsia"/>
          <w:b/>
          <w:color w:val="000000" w:themeColor="text1"/>
          <w:sz w:val="24"/>
          <w:szCs w:val="24"/>
        </w:rPr>
        <w:t>架构图</w:t>
      </w:r>
    </w:p>
    <w:p>
      <w:pPr>
        <w:pStyle w:val="47"/>
        <w:ind w:firstLine="0" w:firstLineChars="0"/>
        <w:jc w:val="left"/>
        <w:rPr>
          <w:rFonts w:asciiTheme="majorEastAsia" w:hAnsiTheme="majorEastAsia" w:eastAsiaTheme="majorEastAsia"/>
          <w:b/>
          <w:color w:val="000000" w:themeColor="text1"/>
          <w:szCs w:val="24"/>
          <w:lang w:val="en-US"/>
        </w:rPr>
      </w:pPr>
      <w:r>
        <w:drawing>
          <wp:inline distT="0" distB="0" distL="114300" distR="114300">
            <wp:extent cx="5266055" cy="2959735"/>
            <wp:effectExtent l="0" t="0" r="1079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6055" cy="2959735"/>
                    </a:xfrm>
                    <a:prstGeom prst="rect">
                      <a:avLst/>
                    </a:prstGeom>
                    <a:noFill/>
                    <a:ln>
                      <a:noFill/>
                    </a:ln>
                  </pic:spPr>
                </pic:pic>
              </a:graphicData>
            </a:graphic>
          </wp:inline>
        </w:drawing>
      </w:r>
    </w:p>
    <w:p>
      <w:pPr>
        <w:pStyle w:val="47"/>
        <w:ind w:firstLine="0" w:firstLineChars="0"/>
        <w:rPr>
          <w:rFonts w:asciiTheme="majorEastAsia" w:hAnsiTheme="majorEastAsia" w:eastAsiaTheme="majorEastAsia"/>
          <w:b/>
          <w:color w:val="000000" w:themeColor="text1"/>
          <w:szCs w:val="24"/>
        </w:rPr>
      </w:pPr>
    </w:p>
    <w:p>
      <w:pPr>
        <w:spacing w:beforeLines="50" w:afterLines="50" w:line="360" w:lineRule="auto"/>
        <w:outlineLvl w:val="0"/>
        <w:rPr>
          <w:rFonts w:cs="Times New Roman" w:asciiTheme="majorEastAsia" w:hAnsiTheme="majorEastAsia" w:eastAsiaTheme="majorEastAsia"/>
          <w:b/>
          <w:color w:val="000000" w:themeColor="text1"/>
          <w:sz w:val="24"/>
          <w:szCs w:val="24"/>
        </w:rPr>
      </w:pPr>
      <w:r>
        <w:rPr>
          <w:rFonts w:hint="eastAsia" w:cs="Times New Roman" w:asciiTheme="majorEastAsia" w:hAnsiTheme="majorEastAsia" w:eastAsiaTheme="majorEastAsia"/>
          <w:b/>
          <w:color w:val="000000" w:themeColor="text1"/>
          <w:sz w:val="24"/>
          <w:szCs w:val="24"/>
        </w:rPr>
        <w:t>2、</w:t>
      </w:r>
      <w:r>
        <w:rPr>
          <w:rFonts w:cs="Times New Roman" w:asciiTheme="majorEastAsia" w:hAnsiTheme="majorEastAsia" w:eastAsiaTheme="majorEastAsia"/>
          <w:b/>
          <w:color w:val="000000" w:themeColor="text1"/>
          <w:sz w:val="24"/>
          <w:szCs w:val="24"/>
        </w:rPr>
        <w:t>主要产品</w:t>
      </w:r>
      <w:bookmarkStart w:id="33" w:name="_GoBack"/>
      <w:bookmarkEnd w:id="33"/>
    </w:p>
    <w:p>
      <w:pPr>
        <w:spacing w:line="600" w:lineRule="exact"/>
        <w:ind w:firstLine="480" w:firstLineChars="200"/>
        <w:jc w:val="left"/>
        <w:rPr>
          <w:sz w:val="24"/>
          <w:szCs w:val="18"/>
        </w:rPr>
      </w:pPr>
      <w:bookmarkStart w:id="7" w:name="_Hlk24620175"/>
      <w:r>
        <w:rPr>
          <w:rFonts w:hint="eastAsia"/>
          <w:sz w:val="24"/>
          <w:szCs w:val="18"/>
        </w:rPr>
        <w:t>海宁海橡鞋材有限公司，集科研开发、生产销售于一体的企业，主要产品有仿片、仿底、城铁减震垫、密封圈等。</w:t>
      </w:r>
    </w:p>
    <w:p>
      <w:pPr>
        <w:spacing w:line="600" w:lineRule="exact"/>
        <w:jc w:val="left"/>
        <w:rPr>
          <w:rFonts w:cs="Times New Roman" w:asciiTheme="minorEastAsia" w:hAnsiTheme="minorEastAsia"/>
          <w:kern w:val="0"/>
          <w:sz w:val="24"/>
          <w:szCs w:val="24"/>
        </w:rPr>
      </w:pPr>
    </w:p>
    <w:bookmarkEnd w:id="7"/>
    <w:p>
      <w:pPr>
        <w:spacing w:beforeLines="50" w:afterLines="50"/>
        <w:outlineLvl w:val="0"/>
        <w:rPr>
          <w:rFonts w:cs="Times New Roman" w:asciiTheme="majorEastAsia" w:hAnsiTheme="majorEastAsia" w:eastAsiaTheme="majorEastAsia"/>
          <w:b/>
          <w:sz w:val="28"/>
          <w:szCs w:val="24"/>
        </w:rPr>
      </w:pPr>
    </w:p>
    <w:p>
      <w:pPr>
        <w:spacing w:beforeLines="50" w:afterLines="50"/>
        <w:outlineLvl w:val="0"/>
        <w:rPr>
          <w:rFonts w:cs="Times New Roman" w:asciiTheme="majorEastAsia" w:hAnsiTheme="majorEastAsia" w:eastAsiaTheme="majorEastAsia"/>
          <w:b/>
          <w:sz w:val="28"/>
          <w:szCs w:val="24"/>
        </w:rPr>
      </w:pPr>
    </w:p>
    <w:p>
      <w:pPr>
        <w:spacing w:beforeLines="50" w:afterLines="50"/>
        <w:outlineLvl w:val="0"/>
        <w:rPr>
          <w:rFonts w:cs="Times New Roman" w:asciiTheme="majorEastAsia" w:hAnsiTheme="majorEastAsia" w:eastAsiaTheme="majorEastAsia"/>
          <w:b/>
          <w:sz w:val="28"/>
          <w:szCs w:val="24"/>
        </w:rPr>
      </w:pPr>
    </w:p>
    <w:p>
      <w:pPr>
        <w:spacing w:beforeLines="50" w:afterLines="50"/>
        <w:outlineLvl w:val="0"/>
        <w:rPr>
          <w:rFonts w:cs="Times New Roman" w:asciiTheme="majorEastAsia" w:hAnsiTheme="majorEastAsia" w:eastAsiaTheme="majorEastAsia"/>
          <w:b/>
          <w:sz w:val="28"/>
          <w:szCs w:val="24"/>
        </w:rPr>
      </w:pPr>
    </w:p>
    <w:p>
      <w:pPr>
        <w:spacing w:beforeLines="50" w:afterLines="50"/>
        <w:outlineLvl w:val="0"/>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5"/>
      <w:bookmarkEnd w:id="6"/>
    </w:p>
    <w:p>
      <w:pPr>
        <w:spacing w:beforeLines="50" w:afterLines="50"/>
        <w:outlineLvl w:val="1"/>
        <w:rPr>
          <w:rFonts w:asciiTheme="majorEastAsia" w:hAnsiTheme="majorEastAsia" w:eastAsiaTheme="majorEastAsia"/>
          <w:b/>
          <w:sz w:val="24"/>
          <w:szCs w:val="24"/>
          <w:highlight w:val="yellow"/>
        </w:rPr>
      </w:pPr>
      <w:bookmarkStart w:id="8" w:name="_Toc451610985"/>
      <w:bookmarkStart w:id="9" w:name="_Toc451610892"/>
      <w:r>
        <w:rPr>
          <w:rFonts w:hint="eastAsia" w:cs="Times New Roman" w:asciiTheme="majorEastAsia" w:hAnsiTheme="majorEastAsia" w:eastAsiaTheme="majorEastAsia"/>
          <w:b/>
          <w:sz w:val="24"/>
          <w:szCs w:val="24"/>
        </w:rPr>
        <w:t>（一）战略方向</w:t>
      </w:r>
      <w:bookmarkEnd w:id="8"/>
      <w:bookmarkEnd w:id="9"/>
    </w:p>
    <w:p>
      <w:pPr>
        <w:pStyle w:val="51"/>
        <w:spacing w:line="360"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不断夯实提供优质产品的全面能力；建设发展公司品牌，不断开拓国内市场；建立生态供应链，关注上下游供应链健康；大力引进专业人才，提升公司经营各个环节的专业度；整合各方资源，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稳固行业龙头地位</w:t>
      </w:r>
      <w:r>
        <w:rPr>
          <w:rFonts w:asciiTheme="minorEastAsia" w:hAnsiTheme="minorEastAsia"/>
          <w:sz w:val="24"/>
          <w:szCs w:val="24"/>
        </w:rPr>
        <w:t>。</w:t>
      </w:r>
    </w:p>
    <w:p>
      <w:pPr>
        <w:pStyle w:val="51"/>
        <w:spacing w:line="360" w:lineRule="auto"/>
        <w:ind w:left="482" w:firstLine="0" w:firstLineChars="0"/>
        <w:rPr>
          <w:rFonts w:asciiTheme="majorEastAsia" w:hAnsiTheme="majorEastAsia" w:eastAsiaTheme="majorEastAsia"/>
          <w:b/>
          <w:sz w:val="24"/>
          <w:szCs w:val="24"/>
          <w:highlight w:val="yellow"/>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外对易耗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Lines="50" w:afterLines="50" w:line="360" w:lineRule="auto"/>
        <w:outlineLvl w:val="1"/>
        <w:rPr>
          <w:rFonts w:asciiTheme="minorEastAsia" w:hAnsiTheme="minorEastAsia"/>
          <w:sz w:val="24"/>
          <w:szCs w:val="24"/>
        </w:rPr>
      </w:pPr>
      <w:bookmarkStart w:id="10" w:name="_Toc451610893"/>
      <w:bookmarkStart w:id="11" w:name="_Toc451610986"/>
      <w:r>
        <w:rPr>
          <w:rFonts w:hint="eastAsia" w:cs="Times New Roman" w:asciiTheme="majorEastAsia" w:hAnsiTheme="majorEastAsia" w:eastAsiaTheme="majorEastAsia"/>
          <w:b/>
          <w:sz w:val="24"/>
          <w:szCs w:val="24"/>
        </w:rPr>
        <w:t>（二）市场业绩</w:t>
      </w:r>
      <w:bookmarkEnd w:id="10"/>
      <w:bookmarkEnd w:id="11"/>
    </w:p>
    <w:p>
      <w:pPr>
        <w:tabs>
          <w:tab w:val="left" w:pos="142"/>
        </w:tabs>
        <w:spacing w:beforeLines="50"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480" w:lineRule="exact"/>
        <w:ind w:left="1" w:right="120" w:firstLine="480"/>
        <w:rPr>
          <w:rFonts w:asciiTheme="minorEastAsia" w:hAnsiTheme="minorEastAsia" w:cstheme="minorEastAsia"/>
          <w:sz w:val="24"/>
        </w:rPr>
      </w:pPr>
      <w:r>
        <w:rPr>
          <w:rFonts w:hint="eastAsia" w:asciiTheme="minorEastAsia" w:hAnsiTheme="minorEastAsia" w:cstheme="minorEastAsia"/>
          <w:sz w:val="24"/>
        </w:rPr>
        <w:t>海宁海橡集团有限公司(及其控股子公司海宁海橡鞋材有限公司)系国内鞋材专业生产企业，始建于1976年，在跨越46年的岁月历程中，企业既承受了曲折和艰辛，也经历了开拓和发展，目前已成为一家拥有总资产</w:t>
      </w:r>
      <w:r>
        <w:rPr>
          <w:rFonts w:hint="eastAsia" w:asciiTheme="minorEastAsia" w:hAnsiTheme="minorEastAsia" w:cstheme="minorEastAsia"/>
          <w:sz w:val="24"/>
          <w:lang w:eastAsia="zh-CN"/>
        </w:rPr>
        <w:t>近</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亿元的国内鞋材业龙头企业。</w:t>
      </w:r>
    </w:p>
    <w:p>
      <w:pPr>
        <w:tabs>
          <w:tab w:val="left" w:pos="142"/>
        </w:tabs>
        <w:spacing w:beforeLines="50"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公司在江浙沪地区加强市场网络建设，以“创新破难，扩大规模增实力”的理念为指导思想，立足于公司的区位优势，继续维护好原有中高档经销商的服务工作，利用品牌优势，坚持长期业务持续发展的指导方针，计划抢占中低档经销商的市场，扩张市场份额。</w:t>
      </w:r>
    </w:p>
    <w:p>
      <w:pPr>
        <w:spacing w:beforeLines="50"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Lines="50"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Lines="50" w:afterLines="50" w:line="360" w:lineRule="auto"/>
        <w:ind w:firstLine="424" w:firstLineChars="177"/>
        <w:rPr>
          <w:rFonts w:ascii="宋体" w:hAnsi="宋体"/>
          <w:sz w:val="24"/>
        </w:rPr>
      </w:pPr>
      <w:bookmarkStart w:id="12" w:name="_Toc211149629"/>
      <w:bookmarkStart w:id="13" w:name="_Toc230143126"/>
      <w:r>
        <w:rPr>
          <w:rFonts w:hint="eastAsia" w:ascii="宋体" w:hAnsi="宋体"/>
          <w:sz w:val="24"/>
        </w:rPr>
        <w:t>公司已实行经营责任制，董事长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pPr>
        <w:spacing w:beforeLines="50"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12"/>
      <w:bookmarkEnd w:id="13"/>
    </w:p>
    <w:p>
      <w:pPr>
        <w:spacing w:line="360" w:lineRule="auto"/>
        <w:ind w:firstLine="480" w:firstLineChars="200"/>
        <w:rPr>
          <w:rFonts w:ascii="宋体" w:hAnsi="宋体"/>
          <w:sz w:val="24"/>
        </w:rPr>
      </w:pPr>
      <w:bookmarkStart w:id="14" w:name="_Toc230143127"/>
      <w:bookmarkStart w:id="15" w:name="_Toc211149630"/>
      <w:r>
        <w:rPr>
          <w:rFonts w:hint="eastAsia" w:ascii="宋体" w:hAnsi="宋体"/>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pPr>
        <w:spacing w:line="360" w:lineRule="auto"/>
        <w:ind w:firstLine="480" w:firstLineChars="200"/>
        <w:rPr>
          <w:rFonts w:ascii="宋体" w:hAnsi="宋体"/>
          <w:sz w:val="24"/>
        </w:rPr>
      </w:pPr>
      <w:r>
        <w:rPr>
          <w:rFonts w:hint="eastAsia" w:ascii="宋体" w:hAnsi="宋体"/>
          <w:sz w:val="24"/>
        </w:rPr>
        <w:t>根据公司相关财务管理制度，公司完善内控制度，强化内部制约制度，所有业务均须由经办人注明事由，部门负责人审核和公司领导审批，以确认其真实性和合法性，财务部严格把关。公司各类费用支出严格按规定权限进行审批。对重大项目建设资金支出，按项目实施计划和工程进度，由项目执行负责人审核，分管领导签署确认意见，财务部门严格把关。</w:t>
      </w:r>
    </w:p>
    <w:bookmarkEnd w:id="14"/>
    <w:bookmarkEnd w:id="15"/>
    <w:p>
      <w:pPr>
        <w:spacing w:beforeLines="50"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海橡鞋材注重经营信息的透明和共享，人事任免、质量问题、先进方法、员工奖励等也都会定期在宣传栏中发布，广泛听取员工意见建议。</w:t>
      </w:r>
    </w:p>
    <w:p>
      <w:pPr>
        <w:spacing w:beforeLines="50" w:afterLines="50" w:line="276" w:lineRule="auto"/>
        <w:ind w:firstLine="426" w:firstLineChars="177"/>
        <w:rPr>
          <w:rFonts w:ascii="宋体" w:hAnsi="宋体"/>
          <w:b/>
          <w:sz w:val="24"/>
          <w:szCs w:val="24"/>
        </w:rPr>
      </w:pPr>
      <w:r>
        <w:rPr>
          <w:rFonts w:hint="eastAsia" w:ascii="宋体" w:hAnsi="宋体"/>
          <w:b/>
          <w:sz w:val="24"/>
          <w:szCs w:val="24"/>
        </w:rPr>
        <w:t>4、</w:t>
      </w:r>
      <w:r>
        <w:rPr>
          <w:rFonts w:ascii="宋体" w:hAnsi="宋体"/>
          <w:b/>
          <w:sz w:val="24"/>
          <w:szCs w:val="24"/>
        </w:rPr>
        <w:t>审计的独立性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公司聘请会计师事务所进行外部审计并出具审计报告，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pPr>
        <w:spacing w:beforeLines="50" w:afterLines="50" w:line="276" w:lineRule="auto"/>
        <w:ind w:firstLine="426" w:firstLineChars="177"/>
        <w:rPr>
          <w:rFonts w:ascii="宋体" w:hAnsi="宋体"/>
          <w:b/>
          <w:sz w:val="24"/>
          <w:szCs w:val="24"/>
        </w:rPr>
      </w:pPr>
      <w:bookmarkStart w:id="16" w:name="_Toc230143129"/>
      <w:bookmarkStart w:id="17" w:name="_Toc211149631"/>
      <w:r>
        <w:rPr>
          <w:rFonts w:hint="eastAsia" w:ascii="宋体" w:hAnsi="宋体"/>
          <w:b/>
          <w:sz w:val="24"/>
          <w:szCs w:val="24"/>
        </w:rPr>
        <w:t>5、</w:t>
      </w:r>
      <w:r>
        <w:rPr>
          <w:rFonts w:ascii="宋体" w:hAnsi="宋体"/>
          <w:b/>
          <w:sz w:val="24"/>
          <w:szCs w:val="24"/>
        </w:rPr>
        <w:t>利益的保护</w:t>
      </w:r>
      <w:bookmarkEnd w:id="16"/>
      <w:bookmarkEnd w:id="17"/>
    </w:p>
    <w:p>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9"/>
        <w:spacing w:before="120"/>
        <w:jc w:val="center"/>
        <w:rPr>
          <w:rFonts w:hint="eastAsia" w:ascii="宋体" w:hAnsi="宋体"/>
        </w:rPr>
      </w:pPr>
      <w:bookmarkStart w:id="18" w:name="_Ref326703132"/>
    </w:p>
    <w:p>
      <w:pPr>
        <w:pStyle w:val="79"/>
        <w:spacing w:before="120"/>
        <w:jc w:val="center"/>
        <w:rPr>
          <w:rFonts w:hint="eastAsia" w:ascii="宋体" w:hAnsi="宋体"/>
        </w:rPr>
      </w:pPr>
    </w:p>
    <w:p>
      <w:pPr>
        <w:pStyle w:val="79"/>
        <w:spacing w:before="120"/>
        <w:jc w:val="center"/>
        <w:rPr>
          <w:rFonts w:hint="eastAsia" w:ascii="宋体" w:hAnsi="宋体"/>
        </w:rPr>
      </w:pPr>
    </w:p>
    <w:p>
      <w:pPr>
        <w:pStyle w:val="79"/>
        <w:spacing w:before="120"/>
        <w:jc w:val="center"/>
        <w:rPr>
          <w:rFonts w:hint="eastAsia" w:ascii="宋体" w:hAnsi="宋体"/>
        </w:rPr>
      </w:pPr>
    </w:p>
    <w:p>
      <w:pPr>
        <w:pStyle w:val="79"/>
        <w:spacing w:before="120"/>
        <w:jc w:val="center"/>
        <w:rPr>
          <w:rFonts w:ascii="宋体" w:hAnsi="宋体"/>
        </w:rPr>
      </w:pPr>
      <w:r>
        <w:rPr>
          <w:rFonts w:hint="eastAsia" w:ascii="宋体" w:hAnsi="宋体"/>
        </w:rPr>
        <w:t>表5-</w:t>
      </w:r>
      <w:bookmarkEnd w:id="18"/>
      <w:r>
        <w:rPr>
          <w:rFonts w:hint="eastAsia" w:ascii="宋体" w:hAnsi="宋体"/>
        </w:rPr>
        <w:t xml:space="preserve">1 </w:t>
      </w:r>
      <w:r>
        <w:rPr>
          <w:rFonts w:ascii="宋体" w:hAnsi="宋体"/>
        </w:rPr>
        <w:t>各相关方利益保护措施</w:t>
      </w:r>
    </w:p>
    <w:tbl>
      <w:tblPr>
        <w:tblStyle w:val="3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6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主要相关方</w:t>
            </w:r>
          </w:p>
        </w:tc>
        <w:tc>
          <w:tcPr>
            <w:tcW w:w="54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具体措施</w:t>
            </w:r>
          </w:p>
        </w:tc>
        <w:tc>
          <w:tcPr>
            <w:tcW w:w="2009"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1、将“流程透明、集约双赢”等定为公司的采购方针，保障供方的利润空间等。2、按时建立了清晰的供应商接口、多渠道的计划和复审过程来确保供应商符合要求，使质量、成本、准时交付都得到了满足。</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1、关心员工生活，使员工有归宿感。2、增加员工工资。3、改善生活环境。4、改善员工福利。5、开展各种文娱活动，改善员工生活。</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40" w:lineRule="atLeast"/>
        <w:ind w:right="25" w:rightChars="12"/>
        <w:rPr>
          <w:b/>
          <w:szCs w:val="21"/>
        </w:rPr>
      </w:pPr>
    </w:p>
    <w:p>
      <w:pPr>
        <w:spacing w:beforeLines="50" w:afterLines="50" w:line="276" w:lineRule="auto"/>
        <w:outlineLvl w:val="0"/>
        <w:rPr>
          <w:rFonts w:cs="Times New Roman" w:asciiTheme="majorEastAsia" w:hAnsiTheme="majorEastAsia" w:eastAsiaTheme="majorEastAsia"/>
          <w:b/>
          <w:color w:val="000000" w:themeColor="text1"/>
          <w:sz w:val="28"/>
          <w:szCs w:val="24"/>
        </w:rPr>
      </w:pPr>
      <w:bookmarkStart w:id="19" w:name="_Toc451610895"/>
      <w:bookmarkStart w:id="20" w:name="_Toc451610988"/>
      <w:r>
        <w:rPr>
          <w:rFonts w:hint="eastAsia" w:cs="Times New Roman" w:asciiTheme="majorEastAsia" w:hAnsiTheme="majorEastAsia" w:eastAsiaTheme="majorEastAsia"/>
          <w:b/>
          <w:color w:val="000000" w:themeColor="text1"/>
          <w:sz w:val="28"/>
          <w:szCs w:val="24"/>
        </w:rPr>
        <w:t>四、社会责任</w:t>
      </w:r>
      <w:bookmarkEnd w:id="19"/>
      <w:bookmarkEnd w:id="20"/>
    </w:p>
    <w:p>
      <w:pPr>
        <w:spacing w:beforeLines="50" w:afterLines="50" w:line="276" w:lineRule="auto"/>
        <w:outlineLvl w:val="1"/>
        <w:rPr>
          <w:rFonts w:cs="Times New Roman" w:asciiTheme="majorEastAsia" w:hAnsiTheme="majorEastAsia" w:eastAsiaTheme="majorEastAsia"/>
          <w:b/>
          <w:color w:val="000000" w:themeColor="text1"/>
          <w:sz w:val="24"/>
          <w:szCs w:val="24"/>
        </w:rPr>
      </w:pPr>
      <w:bookmarkStart w:id="21" w:name="_Toc451610989"/>
      <w:bookmarkStart w:id="22" w:name="_Toc451610896"/>
      <w:r>
        <w:rPr>
          <w:rFonts w:hint="eastAsia" w:cs="Times New Roman" w:asciiTheme="majorEastAsia" w:hAnsiTheme="majorEastAsia" w:eastAsiaTheme="majorEastAsia"/>
          <w:b/>
          <w:color w:val="000000" w:themeColor="text1"/>
          <w:sz w:val="24"/>
          <w:szCs w:val="24"/>
        </w:rPr>
        <w:t>（一）诚信守法</w:t>
      </w:r>
      <w:bookmarkEnd w:id="21"/>
      <w:bookmarkEnd w:id="22"/>
    </w:p>
    <w:p>
      <w:pPr>
        <w:spacing w:before="100" w:after="100" w:line="360"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高层领导遵循“依法经营、诚信经营”的管理理念，严格遵循《公司法》、《经济法》、《合同法》、《产品质量法》、《安全生产法》、《环保法》、《劳动法》以及</w:t>
      </w:r>
      <w:r>
        <w:rPr>
          <w:rFonts w:hint="eastAsia" w:cs="Times New Roman" w:asciiTheme="minorEastAsia" w:hAnsiTheme="minorEastAsia"/>
          <w:sz w:val="24"/>
          <w:szCs w:val="24"/>
        </w:rPr>
        <w:t>材料</w:t>
      </w:r>
      <w:r>
        <w:rPr>
          <w:rFonts w:cs="Times New Roman" w:asciiTheme="minorEastAsia" w:hAnsiTheme="minorEastAsia"/>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beforeLines="50" w:afterLines="50" w:line="276" w:lineRule="auto"/>
        <w:outlineLvl w:val="1"/>
        <w:rPr>
          <w:rFonts w:cs="Times New Roman" w:asciiTheme="majorEastAsia" w:hAnsiTheme="majorEastAsia" w:eastAsiaTheme="majorEastAsia"/>
          <w:b/>
          <w:color w:val="000000" w:themeColor="text1"/>
          <w:sz w:val="24"/>
          <w:szCs w:val="24"/>
        </w:rPr>
      </w:pPr>
      <w:bookmarkStart w:id="23" w:name="_Toc451610990"/>
      <w:bookmarkStart w:id="24" w:name="_Toc451610897"/>
      <w:r>
        <w:rPr>
          <w:rFonts w:hint="eastAsia" w:cs="Times New Roman" w:asciiTheme="majorEastAsia" w:hAnsiTheme="majorEastAsia" w:eastAsiaTheme="majorEastAsia"/>
          <w:b/>
          <w:color w:val="000000" w:themeColor="text1"/>
          <w:sz w:val="24"/>
          <w:szCs w:val="24"/>
        </w:rPr>
        <w:t>（二）质量安全</w:t>
      </w:r>
      <w:bookmarkEnd w:id="23"/>
      <w:bookmarkEnd w:id="24"/>
    </w:p>
    <w:p>
      <w:pPr>
        <w:topLinePunct/>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p>
    <w:p>
      <w:pPr>
        <w:spacing w:beforeLines="50" w:afterLines="50" w:line="276" w:lineRule="auto"/>
        <w:outlineLvl w:val="1"/>
        <w:rPr>
          <w:rFonts w:cs="Times New Roman" w:asciiTheme="majorEastAsia" w:hAnsiTheme="majorEastAsia" w:eastAsiaTheme="majorEastAsia"/>
          <w:b/>
          <w:color w:val="000000" w:themeColor="text1"/>
          <w:sz w:val="24"/>
          <w:szCs w:val="24"/>
        </w:rPr>
      </w:pPr>
      <w:bookmarkStart w:id="25" w:name="_Toc451610991"/>
      <w:bookmarkStart w:id="26" w:name="_Toc451610898"/>
      <w:r>
        <w:rPr>
          <w:rFonts w:hint="eastAsia" w:cs="Times New Roman" w:asciiTheme="majorEastAsia" w:hAnsiTheme="majorEastAsia" w:eastAsiaTheme="majorEastAsia"/>
          <w:b/>
          <w:color w:val="000000" w:themeColor="text1"/>
          <w:sz w:val="24"/>
          <w:szCs w:val="24"/>
        </w:rPr>
        <w:t>（三）员工权益</w:t>
      </w:r>
      <w:bookmarkEnd w:id="25"/>
      <w:bookmarkEnd w:id="26"/>
      <w:bookmarkStart w:id="27" w:name="_Ref328491126"/>
    </w:p>
    <w:bookmarkEnd w:id="27"/>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Lines="50"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hint="eastAsia" w:asciiTheme="minorEastAsia" w:hAnsiTheme="minorEastAsia"/>
          <w:sz w:val="24"/>
          <w:szCs w:val="24"/>
        </w:rPr>
        <w:t>险</w:t>
      </w:r>
      <w:r>
        <w:rPr>
          <w:rFonts w:asciiTheme="minorEastAsia" w:hAnsiTheme="minorEastAsia"/>
          <w:sz w:val="24"/>
          <w:szCs w:val="24"/>
        </w:rPr>
        <w:t>金、生育保险金。</w:t>
      </w:r>
      <w:r>
        <w:rPr>
          <w:rFonts w:hint="eastAsia" w:asciiTheme="minorEastAsia" w:hAnsiTheme="minorEastAsia"/>
          <w:sz w:val="24"/>
          <w:szCs w:val="24"/>
        </w:rPr>
        <w:t>员工可享受法定休假、婚假、丧假、产假等带薪假期。公司</w:t>
      </w:r>
      <w:r>
        <w:rPr>
          <w:rFonts w:asciiTheme="minorEastAsia" w:hAnsiTheme="minorEastAsia"/>
          <w:sz w:val="24"/>
          <w:szCs w:val="24"/>
        </w:rPr>
        <w:t>社会保险覆盖面为</w:t>
      </w:r>
      <w:r>
        <w:rPr>
          <w:rFonts w:hint="eastAsia" w:asciiTheme="minorEastAsia" w:hAnsiTheme="minorEastAsia"/>
          <w:sz w:val="24"/>
          <w:szCs w:val="24"/>
        </w:rPr>
        <w:t>100</w:t>
      </w:r>
      <w:r>
        <w:rPr>
          <w:rFonts w:asciiTheme="minorEastAsia" w:hAnsiTheme="minorEastAsia"/>
          <w:sz w:val="24"/>
          <w:szCs w:val="24"/>
        </w:rPr>
        <w:t>%，劳动合同</w:t>
      </w:r>
      <w:r>
        <w:rPr>
          <w:rFonts w:hint="eastAsia" w:asciiTheme="minorEastAsia" w:hAnsiTheme="minorEastAsia"/>
          <w:sz w:val="24"/>
          <w:szCs w:val="24"/>
        </w:rPr>
        <w:t>签订</w:t>
      </w:r>
      <w:r>
        <w:rPr>
          <w:rFonts w:asciiTheme="minorEastAsia" w:hAnsiTheme="minorEastAsia"/>
          <w:sz w:val="24"/>
          <w:szCs w:val="24"/>
        </w:rPr>
        <w:t>率为</w:t>
      </w:r>
      <w:r>
        <w:rPr>
          <w:rFonts w:hint="eastAsia" w:asciiTheme="minorEastAsia" w:hAnsiTheme="minorEastAsia"/>
          <w:sz w:val="24"/>
          <w:szCs w:val="24"/>
        </w:rPr>
        <w:t>100</w:t>
      </w:r>
      <w:r>
        <w:rPr>
          <w:rFonts w:asciiTheme="minorEastAsia" w:hAnsiTheme="minorEastAsia"/>
          <w:sz w:val="24"/>
          <w:szCs w:val="24"/>
        </w:rPr>
        <w:t>%。</w:t>
      </w:r>
      <w:r>
        <w:rPr>
          <w:rFonts w:hint="eastAsia" w:asciiTheme="minorEastAsia" w:hAnsiTheme="minorEastAsia"/>
          <w:sz w:val="24"/>
          <w:szCs w:val="24"/>
        </w:rPr>
        <w:t>同时，员工享有外出参观学习、发放过</w:t>
      </w:r>
      <w:r>
        <w:rPr>
          <w:rFonts w:hint="eastAsia" w:cs="Times New Roman" w:asciiTheme="minorEastAsia" w:hAnsiTheme="minorEastAsia"/>
          <w:kern w:val="0"/>
          <w:sz w:val="24"/>
          <w:szCs w:val="24"/>
        </w:rPr>
        <w:t>节福利、防暑降温药品等福利。公司</w:t>
      </w:r>
      <w:r>
        <w:rPr>
          <w:rFonts w:cs="Times New Roman" w:asciiTheme="minorEastAsia" w:hAnsiTheme="minorEastAsia"/>
          <w:kern w:val="0"/>
          <w:sz w:val="24"/>
          <w:szCs w:val="24"/>
        </w:rPr>
        <w:t>不断完善员工反映问题和</w:t>
      </w:r>
      <w:r>
        <w:rPr>
          <w:rFonts w:hint="eastAsia" w:cs="Times New Roman" w:asciiTheme="minorEastAsia" w:hAnsiTheme="minorEastAsia"/>
          <w:kern w:val="0"/>
          <w:sz w:val="24"/>
          <w:szCs w:val="24"/>
        </w:rPr>
        <w:t>诉求</w:t>
      </w:r>
      <w:r>
        <w:rPr>
          <w:rFonts w:cs="Times New Roman" w:asciiTheme="minorEastAsia" w:hAnsiTheme="minorEastAsia"/>
          <w:kern w:val="0"/>
          <w:sz w:val="24"/>
          <w:szCs w:val="24"/>
        </w:rPr>
        <w:t>的渠道及处理机制</w:t>
      </w:r>
      <w:r>
        <w:rPr>
          <w:rFonts w:hint="eastAsia" w:cs="Times New Roman" w:asciiTheme="minorEastAsia" w:hAnsiTheme="minorEastAsia"/>
          <w:kern w:val="0"/>
          <w:sz w:val="24"/>
          <w:szCs w:val="24"/>
        </w:rPr>
        <w:t>。员工可</w:t>
      </w:r>
      <w:r>
        <w:rPr>
          <w:rFonts w:cs="Times New Roman" w:asciiTheme="minorEastAsia" w:hAnsiTheme="minorEastAsia"/>
          <w:kern w:val="0"/>
          <w:sz w:val="24"/>
          <w:szCs w:val="24"/>
        </w:rPr>
        <w:t>通过电话、微信</w:t>
      </w:r>
      <w:r>
        <w:rPr>
          <w:rFonts w:hint="eastAsia" w:cs="Times New Roman" w:asciiTheme="minorEastAsia" w:hAnsiTheme="minorEastAsia"/>
          <w:kern w:val="0"/>
          <w:sz w:val="24"/>
          <w:szCs w:val="24"/>
        </w:rPr>
        <w:t>等</w:t>
      </w:r>
      <w:r>
        <w:rPr>
          <w:rFonts w:cs="Times New Roman" w:asciiTheme="minorEastAsia" w:hAnsiTheme="minorEastAsia"/>
          <w:kern w:val="0"/>
          <w:sz w:val="24"/>
          <w:szCs w:val="24"/>
        </w:rPr>
        <w:t>渠道，反映</w:t>
      </w:r>
      <w:r>
        <w:rPr>
          <w:rFonts w:hint="eastAsia" w:cs="Times New Roman" w:asciiTheme="minorEastAsia" w:hAnsiTheme="minorEastAsia"/>
          <w:kern w:val="0"/>
          <w:sz w:val="24"/>
          <w:szCs w:val="24"/>
        </w:rPr>
        <w:t>他们</w:t>
      </w:r>
      <w:r>
        <w:rPr>
          <w:rFonts w:cs="Times New Roman" w:asciiTheme="minorEastAsia" w:hAnsiTheme="minorEastAsia"/>
          <w:kern w:val="0"/>
          <w:sz w:val="24"/>
          <w:szCs w:val="24"/>
        </w:rPr>
        <w:t>遇到或可能发生的问题。公司</w:t>
      </w:r>
      <w:r>
        <w:rPr>
          <w:rFonts w:hint="eastAsia" w:cs="Times New Roman" w:asciiTheme="minorEastAsia" w:hAnsiTheme="minorEastAsia"/>
          <w:kern w:val="0"/>
          <w:sz w:val="24"/>
          <w:szCs w:val="24"/>
        </w:rPr>
        <w:t>高度</w:t>
      </w:r>
      <w:r>
        <w:rPr>
          <w:rFonts w:cs="Times New Roman" w:asciiTheme="minorEastAsia" w:hAnsiTheme="minorEastAsia"/>
          <w:kern w:val="0"/>
          <w:sz w:val="24"/>
          <w:szCs w:val="24"/>
        </w:rPr>
        <w:t>重视员工申述</w:t>
      </w:r>
      <w:r>
        <w:rPr>
          <w:rFonts w:hint="eastAsia" w:cs="Times New Roman" w:asciiTheme="minorEastAsia" w:hAnsiTheme="minorEastAsia"/>
          <w:kern w:val="0"/>
          <w:sz w:val="24"/>
          <w:szCs w:val="24"/>
        </w:rPr>
        <w:t>事件</w:t>
      </w:r>
      <w:r>
        <w:rPr>
          <w:rFonts w:cs="Times New Roman" w:asciiTheme="minorEastAsia" w:hAnsiTheme="minorEastAsia"/>
          <w:kern w:val="0"/>
          <w:sz w:val="24"/>
          <w:szCs w:val="24"/>
        </w:rPr>
        <w:t>，保证处理程序正当、依据明确</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结果恰当，保障了员工的合法权益。</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针对现在越来越多的80后、90后群体的特质给予更多的关注，为其制定职业生涯规划，明确发展通道，开展师带徒手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topLinePunct/>
        <w:spacing w:line="360" w:lineRule="auto"/>
        <w:ind w:firstLine="480" w:firstLineChars="200"/>
        <w:rPr>
          <w:rFonts w:cs="Times New Roman" w:asciiTheme="minorEastAsia" w:hAnsiTheme="minorEastAsia"/>
          <w:color w:val="000000"/>
          <w:sz w:val="24"/>
          <w:szCs w:val="24"/>
        </w:rPr>
      </w:pPr>
      <w:r>
        <w:rPr>
          <w:rFonts w:cs="Times New Roman" w:asciiTheme="minorEastAsia" w:hAnsiTheme="minorEastAsia"/>
          <w:color w:val="000000"/>
          <w:sz w:val="24"/>
          <w:szCs w:val="24"/>
        </w:rPr>
        <w:t>公司高层领导通过短信/微信平台、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28" w:name="_Toc451610993"/>
      <w:bookmarkStart w:id="29" w:name="_Toc451610900"/>
    </w:p>
    <w:p>
      <w:pPr>
        <w:widowControl/>
        <w:shd w:val="clear" w:color="auto" w:fill="FFFFFF"/>
        <w:spacing w:line="276" w:lineRule="auto"/>
        <w:jc w:val="left"/>
        <w:outlineLvl w:val="1"/>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（四）社会荣誉</w:t>
      </w:r>
      <w:bookmarkEnd w:id="28"/>
      <w:bookmarkEnd w:id="29"/>
    </w:p>
    <w:tbl>
      <w:tblPr>
        <w:tblStyle w:val="38"/>
        <w:tblW w:w="8551" w:type="dxa"/>
        <w:tblInd w:w="0" w:type="dxa"/>
        <w:tblLayout w:type="fixed"/>
        <w:tblCellMar>
          <w:top w:w="0" w:type="dxa"/>
          <w:left w:w="108" w:type="dxa"/>
          <w:bottom w:w="0" w:type="dxa"/>
          <w:right w:w="108" w:type="dxa"/>
        </w:tblCellMar>
      </w:tblPr>
      <w:tblGrid>
        <w:gridCol w:w="704"/>
        <w:gridCol w:w="2523"/>
        <w:gridCol w:w="1417"/>
        <w:gridCol w:w="3907"/>
      </w:tblGrid>
      <w:tr>
        <w:tblPrEx>
          <w:tblCellMar>
            <w:top w:w="0" w:type="dxa"/>
            <w:left w:w="108" w:type="dxa"/>
            <w:bottom w:w="0" w:type="dxa"/>
            <w:right w:w="108" w:type="dxa"/>
          </w:tblCellMar>
        </w:tblPrEx>
        <w:trPr>
          <w:trHeight w:val="499" w:hRule="atLeast"/>
        </w:trPr>
        <w:tc>
          <w:tcPr>
            <w:tcW w:w="704" w:type="dxa"/>
            <w:tcBorders>
              <w:top w:val="nil"/>
              <w:left w:val="single" w:color="auto" w:sz="4" w:space="0"/>
              <w:bottom w:val="single" w:color="auto" w:sz="4" w:space="0"/>
              <w:right w:val="single" w:color="auto" w:sz="4" w:space="0"/>
            </w:tcBorders>
            <w:shd w:val="clear" w:color="auto" w:fill="A8D08D" w:themeFill="accent6" w:themeFillTint="99"/>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序号</w:t>
            </w:r>
          </w:p>
        </w:tc>
        <w:tc>
          <w:tcPr>
            <w:tcW w:w="2523" w:type="dxa"/>
            <w:tcBorders>
              <w:top w:val="nil"/>
              <w:left w:val="nil"/>
              <w:bottom w:val="single" w:color="auto" w:sz="4" w:space="0"/>
              <w:right w:val="single" w:color="auto" w:sz="4" w:space="0"/>
            </w:tcBorders>
            <w:shd w:val="clear" w:color="auto" w:fill="A8D08D" w:themeFill="accent6" w:themeFillTint="99"/>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荣誉证书名称</w:t>
            </w:r>
          </w:p>
        </w:tc>
        <w:tc>
          <w:tcPr>
            <w:tcW w:w="1417" w:type="dxa"/>
            <w:tcBorders>
              <w:top w:val="nil"/>
              <w:left w:val="nil"/>
              <w:bottom w:val="single" w:color="auto" w:sz="4" w:space="0"/>
              <w:right w:val="single" w:color="auto" w:sz="4" w:space="0"/>
            </w:tcBorders>
            <w:shd w:val="clear" w:color="auto" w:fill="A8D08D" w:themeFill="accent6" w:themeFillTint="99"/>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时间</w:t>
            </w:r>
          </w:p>
        </w:tc>
        <w:tc>
          <w:tcPr>
            <w:tcW w:w="3907" w:type="dxa"/>
            <w:tcBorders>
              <w:top w:val="nil"/>
              <w:left w:val="nil"/>
              <w:bottom w:val="single" w:color="auto" w:sz="4" w:space="0"/>
              <w:right w:val="single" w:color="auto" w:sz="4" w:space="0"/>
            </w:tcBorders>
            <w:shd w:val="clear" w:color="auto" w:fill="A8D08D" w:themeFill="accent6" w:themeFillTint="99"/>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颁奖单位</w:t>
            </w:r>
          </w:p>
        </w:tc>
      </w:tr>
      <w:tr>
        <w:tblPrEx>
          <w:tblCellMar>
            <w:top w:w="0" w:type="dxa"/>
            <w:left w:w="108" w:type="dxa"/>
            <w:bottom w:w="0" w:type="dxa"/>
            <w:right w:w="108" w:type="dxa"/>
          </w:tblCellMar>
        </w:tblPrEx>
        <w:trPr>
          <w:trHeight w:val="4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bookmarkStart w:id="30" w:name="_Hlk24919172"/>
            <w:r>
              <w:rPr>
                <w:rFonts w:hint="eastAsia" w:cs="宋体" w:asciiTheme="minorEastAsia" w:hAnsiTheme="minorEastAsia"/>
                <w:color w:val="000000"/>
                <w:kern w:val="0"/>
                <w:sz w:val="20"/>
                <w:szCs w:val="20"/>
              </w:rPr>
              <w:t>1</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质量管理体系认证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2021年2月</w:t>
            </w:r>
          </w:p>
        </w:tc>
        <w:tc>
          <w:tcPr>
            <w:tcW w:w="390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北京天一正认证中心有限公司</w:t>
            </w:r>
          </w:p>
        </w:tc>
      </w:tr>
      <w:tr>
        <w:tblPrEx>
          <w:tblCellMar>
            <w:top w:w="0" w:type="dxa"/>
            <w:left w:w="108" w:type="dxa"/>
            <w:bottom w:w="0" w:type="dxa"/>
            <w:right w:w="108" w:type="dxa"/>
          </w:tblCellMar>
        </w:tblPrEx>
        <w:trPr>
          <w:trHeight w:val="4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2523"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环境管理体系认证</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2021年2月</w:t>
            </w:r>
          </w:p>
        </w:tc>
        <w:tc>
          <w:tcPr>
            <w:tcW w:w="390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北京天一正认证中心有限公司</w:t>
            </w:r>
          </w:p>
        </w:tc>
      </w:tr>
      <w:tr>
        <w:tblPrEx>
          <w:tblCellMar>
            <w:top w:w="0" w:type="dxa"/>
            <w:left w:w="108" w:type="dxa"/>
            <w:bottom w:w="0" w:type="dxa"/>
            <w:right w:w="108" w:type="dxa"/>
          </w:tblCellMar>
        </w:tblPrEx>
        <w:trPr>
          <w:trHeight w:val="4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3</w:t>
            </w:r>
          </w:p>
        </w:tc>
        <w:tc>
          <w:tcPr>
            <w:tcW w:w="2523"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高新技术企业</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2019年12月</w:t>
            </w:r>
          </w:p>
        </w:tc>
        <w:tc>
          <w:tcPr>
            <w:tcW w:w="390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浙江省科学技术厅</w:t>
            </w:r>
          </w:p>
        </w:tc>
      </w:tr>
      <w:tr>
        <w:tblPrEx>
          <w:tblCellMar>
            <w:top w:w="0" w:type="dxa"/>
            <w:left w:w="108" w:type="dxa"/>
            <w:bottom w:w="0" w:type="dxa"/>
            <w:right w:w="108" w:type="dxa"/>
          </w:tblCellMar>
        </w:tblPrEx>
        <w:trPr>
          <w:trHeight w:val="49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4</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安全生产标准化三级企业</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2019年11月</w:t>
            </w:r>
          </w:p>
        </w:tc>
        <w:tc>
          <w:tcPr>
            <w:tcW w:w="390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rPr>
            </w:pPr>
            <w:r>
              <w:rPr>
                <w:rFonts w:hint="eastAsia" w:ascii="宋体" w:hAnsi="宋体" w:eastAsia="宋体"/>
              </w:rPr>
              <w:t>国家安全生产监督管理总局</w:t>
            </w:r>
          </w:p>
        </w:tc>
      </w:tr>
      <w:bookmarkEnd w:id="30"/>
    </w:tbl>
    <w:p>
      <w:pPr>
        <w:spacing w:beforeLines="50" w:afterLines="50" w:line="276"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五、环境责任</w:t>
      </w:r>
    </w:p>
    <w:p>
      <w:pPr>
        <w:spacing w:line="360" w:lineRule="auto"/>
        <w:ind w:firstLine="480" w:firstLineChars="200"/>
        <w:rPr>
          <w:rFonts w:ascii="宋体" w:hAnsi="宋体" w:eastAsia="宋体" w:cs="Times New Roman"/>
          <w:kern w:val="0"/>
          <w:sz w:val="24"/>
          <w:szCs w:val="24"/>
          <w:lang w:val="zh-CN"/>
        </w:rPr>
      </w:pPr>
      <w:r>
        <w:rPr>
          <w:rFonts w:cs="Times New Roman" w:asciiTheme="minorEastAsia" w:hAnsiTheme="minorEastAsia"/>
          <w:kern w:val="0"/>
          <w:sz w:val="24"/>
          <w:szCs w:val="24"/>
          <w:lang w:val="zh-CN"/>
        </w:rPr>
        <w:t>公司坚持“保护环境，造福人类，预防污染，持续改进”的环保方针，通过不断改进技术与工艺</w:t>
      </w:r>
      <w:r>
        <w:rPr>
          <w:rFonts w:hint="eastAsia" w:cs="Times New Roman" w:asciiTheme="minorEastAsia" w:hAnsiTheme="minorEastAsia"/>
          <w:kern w:val="0"/>
          <w:sz w:val="24"/>
          <w:szCs w:val="24"/>
          <w:lang w:val="zh-CN"/>
        </w:rPr>
        <w:t>,更换零部件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hAnsi="宋体" w:eastAsia="宋体" w:cs="Times New Roman"/>
          <w:kern w:val="0"/>
          <w:sz w:val="24"/>
          <w:szCs w:val="24"/>
          <w:lang w:val="zh-CN"/>
        </w:rPr>
        <w:t>。</w:t>
      </w:r>
    </w:p>
    <w:p>
      <w:pPr>
        <w:spacing w:beforeLines="50" w:afterLines="50" w:line="276" w:lineRule="auto"/>
        <w:outlineLvl w:val="1"/>
        <w:rPr>
          <w:rFonts w:ascii="宋体" w:hAnsi="宋体" w:eastAsia="宋体" w:cs="Times New Roman"/>
          <w:b/>
          <w:sz w:val="24"/>
          <w:szCs w:val="24"/>
        </w:rPr>
      </w:pPr>
      <w:bookmarkStart w:id="31" w:name="_Toc451610995"/>
      <w:bookmarkStart w:id="32" w:name="_Toc451610902"/>
      <w:r>
        <w:rPr>
          <w:rFonts w:hint="eastAsia" w:ascii="宋体" w:hAnsi="宋体" w:eastAsia="宋体" w:cs="Times New Roman"/>
          <w:b/>
          <w:sz w:val="24"/>
          <w:szCs w:val="24"/>
        </w:rPr>
        <w:t>（一）环境保护</w:t>
      </w:r>
      <w:bookmarkEnd w:id="31"/>
      <w:bookmarkEnd w:id="32"/>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环境因素识别与评价控制程序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、《环境、职业健康安全运行控制》</w:t>
      </w:r>
      <w:r>
        <w:rPr>
          <w:rFonts w:cs="Times New Roman" w:asciiTheme="minorEastAsia" w:hAnsiTheme="minorEastAsia"/>
          <w:kern w:val="0"/>
          <w:sz w:val="24"/>
          <w:szCs w:val="24"/>
          <w:lang w:val="zh-CN"/>
        </w:rPr>
        <w:t>等制度和管理办法，公司</w:t>
      </w:r>
      <w:r>
        <w:rPr>
          <w:rFonts w:hint="eastAsia" w:cs="Times New Roman" w:asciiTheme="minorEastAsia" w:hAnsiTheme="minorEastAsia"/>
          <w:kern w:val="0"/>
          <w:sz w:val="24"/>
          <w:szCs w:val="24"/>
          <w:lang w:val="zh-CN"/>
        </w:rPr>
        <w:t>通过了</w:t>
      </w:r>
      <w:r>
        <w:rPr>
          <w:rFonts w:hint="eastAsia" w:cs="Times New Roman" w:asciiTheme="minorEastAsia" w:hAnsiTheme="minorEastAsia"/>
          <w:kern w:val="0"/>
          <w:sz w:val="24"/>
          <w:szCs w:val="24"/>
        </w:rPr>
        <w:t>14001</w:t>
      </w:r>
      <w:r>
        <w:rPr>
          <w:rFonts w:hint="eastAsia" w:cs="Times New Roman" w:asciiTheme="minorEastAsia" w:hAnsiTheme="minorEastAsia"/>
          <w:kern w:val="0"/>
          <w:sz w:val="24"/>
          <w:szCs w:val="24"/>
          <w:lang w:val="zh-CN"/>
        </w:rPr>
        <w:t>《环境管理体系》认证。</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pStyle w:val="86"/>
        <w:numPr>
          <w:ilvl w:val="0"/>
          <w:numId w:val="3"/>
        </w:numPr>
        <w:ind w:firstLineChars="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废气及其处理措施</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公司在生产过程中会产生少量的废气，工艺废气主要为皮具胶水产生的胶水废气，其排放标准执行《大气污染物综合排放标准》（GB16297-1996）中的二级标准，</w:t>
      </w:r>
    </w:p>
    <w:p>
      <w:pPr>
        <w:pStyle w:val="86"/>
        <w:numPr>
          <w:ilvl w:val="0"/>
          <w:numId w:val="3"/>
        </w:numPr>
        <w:ind w:firstLineChars="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废水及其处理措施</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公司生产、生活过程中产生的废水通过废水处理站处理后统一处理。</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③固体废弃物及其处理措施</w:t>
      </w:r>
    </w:p>
    <w:p>
      <w:pPr>
        <w:spacing w:line="360" w:lineRule="auto"/>
        <w:ind w:firstLine="48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固废主要有生活垃圾，边角料及废包装材料。</w:t>
      </w:r>
    </w:p>
    <w:p>
      <w:pPr>
        <w:spacing w:line="360" w:lineRule="auto"/>
        <w:ind w:firstLine="48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 xml:space="preserve">项目产生的生活垃圾由街道组织的环保队统一集中处理；边角料出售给物资回收公司综合利用； </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④噪音及其处理措施</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公司生产过程中的噪音主要是冲模机等机器设备运转产生的噪音。公司通过使用隔音、吸音材料，减少了噪音对周围环境的影响。</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4</w:t>
      </w:r>
      <w:r>
        <w:rPr>
          <w:rFonts w:hint="eastAsia" w:asciiTheme="minorEastAsia" w:hAnsiTheme="minorEastAsia" w:eastAsiaTheme="minorEastAsia"/>
          <w:bCs w:val="0"/>
          <w:kern w:val="0"/>
          <w:lang w:val="zh-CN"/>
        </w:rPr>
        <w:t>）道德行为：</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5</w:t>
      </w:r>
      <w:r>
        <w:rPr>
          <w:rFonts w:hint="eastAsia" w:asciiTheme="minorEastAsia" w:hAnsiTheme="minorEastAsia" w:eastAsiaTheme="minorEastAsia"/>
          <w:bCs w:val="0"/>
          <w:kern w:val="0"/>
          <w:lang w:val="zh-CN"/>
        </w:rPr>
        <w:t>）公益支持：</w:t>
      </w:r>
    </w:p>
    <w:p>
      <w:pPr>
        <w:pStyle w:val="86"/>
        <w:ind w:firstLine="480"/>
        <w:rPr>
          <w:rFonts w:hint="default" w:asciiTheme="minorEastAsia" w:hAnsiTheme="minorEastAsia" w:eastAsiaTheme="minorEastAsia"/>
          <w:bCs w:val="0"/>
          <w:kern w:val="0"/>
          <w:lang w:val="en-US" w:eastAsia="zh-CN"/>
        </w:rPr>
      </w:pPr>
      <w:r>
        <w:rPr>
          <w:rFonts w:hint="eastAsia" w:asciiTheme="minorEastAsia" w:hAnsiTheme="minorEastAsia" w:eastAsiaTheme="minorEastAsia"/>
          <w:bCs w:val="0"/>
          <w:kern w:val="0"/>
          <w:lang w:val="zh-CN"/>
        </w:rPr>
        <w:t>公司高层领导认为公司的发展和财富的积累来源于社会，企业取得的每一项进步和成效都得益于各级领导的呵护和关心，都离不开社会各界的厚爱和支持。遵循公司“奉献”的价值观以及公司使命，公司坚持回馈社会，认真履行企业的社会责任。公司在注重企业经营的同时，不忘社会责任，积极组织参加各类公益慈善活动。公司在职残疾员工</w:t>
      </w:r>
      <w:r>
        <w:rPr>
          <w:rFonts w:hint="eastAsia" w:asciiTheme="minorEastAsia" w:hAnsiTheme="minorEastAsia" w:eastAsiaTheme="minorEastAsia"/>
          <w:bCs w:val="0"/>
          <w:kern w:val="0"/>
          <w:lang w:val="en-US" w:eastAsia="zh-CN"/>
        </w:rPr>
        <w:t>20人，根据不同性质的残疾种类，安排不同岗位的工作，同时派遣专车接送上下班，既让残疾员工有一份稳定的收入，又保证其在工作期间的安全。同时公司还不定期进行捐款，如下：</w:t>
      </w:r>
    </w:p>
    <w:tbl>
      <w:tblPr>
        <w:tblStyle w:val="38"/>
        <w:tblW w:w="8239" w:type="dxa"/>
        <w:tblInd w:w="91" w:type="dxa"/>
        <w:tblLayout w:type="fixed"/>
        <w:tblCellMar>
          <w:top w:w="0" w:type="dxa"/>
          <w:left w:w="108" w:type="dxa"/>
          <w:bottom w:w="0" w:type="dxa"/>
          <w:right w:w="108" w:type="dxa"/>
        </w:tblCellMar>
      </w:tblPr>
      <w:tblGrid>
        <w:gridCol w:w="4504"/>
        <w:gridCol w:w="2017"/>
        <w:gridCol w:w="1718"/>
      </w:tblGrid>
      <w:tr>
        <w:tblPrEx>
          <w:tblCellMar>
            <w:top w:w="0" w:type="dxa"/>
            <w:left w:w="108" w:type="dxa"/>
            <w:bottom w:w="0" w:type="dxa"/>
            <w:right w:w="108" w:type="dxa"/>
          </w:tblCellMar>
        </w:tblPrEx>
        <w:trPr>
          <w:trHeight w:val="466" w:hRule="atLeast"/>
        </w:trPr>
        <w:tc>
          <w:tcPr>
            <w:tcW w:w="4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项目</w:t>
            </w:r>
          </w:p>
        </w:tc>
        <w:tc>
          <w:tcPr>
            <w:tcW w:w="2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捐赠时间</w:t>
            </w:r>
          </w:p>
        </w:tc>
        <w:tc>
          <w:tcPr>
            <w:tcW w:w="1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金额（元）</w:t>
            </w:r>
          </w:p>
        </w:tc>
      </w:tr>
      <w:tr>
        <w:tblPrEx>
          <w:tblCellMar>
            <w:top w:w="0" w:type="dxa"/>
            <w:left w:w="108" w:type="dxa"/>
            <w:bottom w:w="0" w:type="dxa"/>
            <w:right w:w="108" w:type="dxa"/>
          </w:tblCellMar>
        </w:tblPrEx>
        <w:trPr>
          <w:trHeight w:val="517" w:hRule="atLeast"/>
        </w:trPr>
        <w:tc>
          <w:tcPr>
            <w:tcW w:w="4504"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海宁市慈善总会</w:t>
            </w:r>
          </w:p>
        </w:tc>
        <w:tc>
          <w:tcPr>
            <w:tcW w:w="20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2</w:t>
            </w:r>
            <w:r>
              <w:rPr>
                <w:rFonts w:cs="Times New Roman" w:asciiTheme="minorEastAsia" w:hAnsiTheme="minorEastAsia"/>
                <w:kern w:val="0"/>
                <w:sz w:val="24"/>
                <w:szCs w:val="24"/>
                <w:lang w:val="zh-CN"/>
              </w:rPr>
              <w:t>01</w:t>
            </w:r>
            <w:r>
              <w:rPr>
                <w:rFonts w:hint="eastAsia" w:cs="Times New Roman" w:asciiTheme="minorEastAsia" w:hAnsiTheme="minorEastAsia"/>
                <w:kern w:val="0"/>
                <w:sz w:val="24"/>
                <w:szCs w:val="24"/>
              </w:rPr>
              <w:t>5.11</w:t>
            </w:r>
          </w:p>
        </w:tc>
        <w:tc>
          <w:tcPr>
            <w:tcW w:w="17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rPr>
              <w:t>3.2</w:t>
            </w:r>
            <w:r>
              <w:rPr>
                <w:rFonts w:hint="eastAsia" w:cs="Times New Roman" w:asciiTheme="minorEastAsia" w:hAnsiTheme="minorEastAsia"/>
                <w:kern w:val="0"/>
                <w:sz w:val="24"/>
                <w:szCs w:val="24"/>
                <w:lang w:val="zh-CN"/>
              </w:rPr>
              <w:t>万</w:t>
            </w:r>
          </w:p>
        </w:tc>
      </w:tr>
      <w:tr>
        <w:tblPrEx>
          <w:tblCellMar>
            <w:top w:w="0" w:type="dxa"/>
            <w:left w:w="108" w:type="dxa"/>
            <w:bottom w:w="0" w:type="dxa"/>
            <w:right w:w="108" w:type="dxa"/>
          </w:tblCellMar>
        </w:tblPrEx>
        <w:trPr>
          <w:trHeight w:val="444" w:hRule="atLeast"/>
        </w:trPr>
        <w:tc>
          <w:tcPr>
            <w:tcW w:w="4504"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海宁市慈善总会</w:t>
            </w:r>
          </w:p>
        </w:tc>
        <w:tc>
          <w:tcPr>
            <w:tcW w:w="20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2016.11</w:t>
            </w:r>
          </w:p>
        </w:tc>
        <w:tc>
          <w:tcPr>
            <w:tcW w:w="17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rPr>
              <w:t>4.0</w:t>
            </w:r>
            <w:r>
              <w:rPr>
                <w:rFonts w:hint="eastAsia" w:cs="Times New Roman" w:asciiTheme="minorEastAsia" w:hAnsiTheme="minorEastAsia"/>
                <w:kern w:val="0"/>
                <w:sz w:val="24"/>
                <w:szCs w:val="24"/>
                <w:lang w:val="zh-CN"/>
              </w:rPr>
              <w:t>万</w:t>
            </w:r>
          </w:p>
        </w:tc>
      </w:tr>
      <w:tr>
        <w:tblPrEx>
          <w:tblCellMar>
            <w:top w:w="0" w:type="dxa"/>
            <w:left w:w="108" w:type="dxa"/>
            <w:bottom w:w="0" w:type="dxa"/>
            <w:right w:w="108" w:type="dxa"/>
          </w:tblCellMar>
        </w:tblPrEx>
        <w:trPr>
          <w:trHeight w:val="408" w:hRule="atLeast"/>
        </w:trPr>
        <w:tc>
          <w:tcPr>
            <w:tcW w:w="4504"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海宁市慈善总会</w:t>
            </w:r>
          </w:p>
        </w:tc>
        <w:tc>
          <w:tcPr>
            <w:tcW w:w="20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2017.11</w:t>
            </w:r>
          </w:p>
        </w:tc>
        <w:tc>
          <w:tcPr>
            <w:tcW w:w="17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rPr>
              <w:t>3.0</w:t>
            </w:r>
            <w:r>
              <w:rPr>
                <w:rFonts w:hint="eastAsia" w:cs="Times New Roman" w:asciiTheme="minorEastAsia" w:hAnsiTheme="minorEastAsia"/>
                <w:kern w:val="0"/>
                <w:sz w:val="24"/>
                <w:szCs w:val="24"/>
                <w:lang w:val="zh-CN"/>
              </w:rPr>
              <w:t>万</w:t>
            </w:r>
          </w:p>
        </w:tc>
      </w:tr>
      <w:tr>
        <w:tblPrEx>
          <w:tblCellMar>
            <w:top w:w="0" w:type="dxa"/>
            <w:left w:w="108" w:type="dxa"/>
            <w:bottom w:w="0" w:type="dxa"/>
            <w:right w:w="108" w:type="dxa"/>
          </w:tblCellMar>
        </w:tblPrEx>
        <w:trPr>
          <w:trHeight w:val="565" w:hRule="atLeast"/>
        </w:trPr>
        <w:tc>
          <w:tcPr>
            <w:tcW w:w="4504"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海宁市慈善总会</w:t>
            </w:r>
          </w:p>
        </w:tc>
        <w:tc>
          <w:tcPr>
            <w:tcW w:w="20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019.</w:t>
            </w:r>
            <w:r>
              <w:rPr>
                <w:rFonts w:hint="eastAsia" w:cs="Times New Roman" w:asciiTheme="minorEastAsia" w:hAnsiTheme="minorEastAsia"/>
                <w:kern w:val="0"/>
                <w:sz w:val="24"/>
                <w:szCs w:val="24"/>
              </w:rPr>
              <w:t>05</w:t>
            </w:r>
          </w:p>
        </w:tc>
        <w:tc>
          <w:tcPr>
            <w:tcW w:w="17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5.0万</w:t>
            </w:r>
          </w:p>
        </w:tc>
      </w:tr>
    </w:tbl>
    <w:p>
      <w:pPr>
        <w:spacing w:line="360" w:lineRule="auto"/>
        <w:ind w:firstLine="480" w:firstLineChars="200"/>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Helvetica">
    <w:altName w:val="Arial"/>
    <w:panose1 w:val="020B0604020202020204"/>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sz w:val="32"/>
        <w:szCs w:val="32"/>
      </w:rPr>
    </w:pPr>
    <w:r>
      <w:rPr>
        <w:rFonts w:hint="eastAsia"/>
        <w:sz w:val="32"/>
        <w:szCs w:val="32"/>
      </w:rPr>
      <w:t>海宁海橡鞋材有限公司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24191"/>
    <w:multiLevelType w:val="multilevel"/>
    <w:tmpl w:val="02524191"/>
    <w:lvl w:ilvl="0" w:tentative="0">
      <w:start w:val="1"/>
      <w:numFmt w:val="decimal"/>
      <w:lvlText w:val="%1、"/>
      <w:lvlJc w:val="left"/>
      <w:pPr>
        <w:ind w:left="840" w:hanging="360"/>
      </w:pPr>
      <w:rPr>
        <w:rFonts w:hint="default" w:ascii="Times New Roman" w:hAnsi="Times New Roman" w:eastAsia="宋体"/>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21547E"/>
    <w:multiLevelType w:val="multilevel"/>
    <w:tmpl w:val="3221547E"/>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5536"/>
    <w:rsid w:val="000001E5"/>
    <w:rsid w:val="00004397"/>
    <w:rsid w:val="00036A7A"/>
    <w:rsid w:val="000437A1"/>
    <w:rsid w:val="000519DC"/>
    <w:rsid w:val="00066D0C"/>
    <w:rsid w:val="00093D9A"/>
    <w:rsid w:val="000C3B69"/>
    <w:rsid w:val="000F2948"/>
    <w:rsid w:val="00116ECF"/>
    <w:rsid w:val="00131595"/>
    <w:rsid w:val="001420F3"/>
    <w:rsid w:val="00165DCC"/>
    <w:rsid w:val="00186145"/>
    <w:rsid w:val="001B196B"/>
    <w:rsid w:val="001F2219"/>
    <w:rsid w:val="001F317C"/>
    <w:rsid w:val="0020185A"/>
    <w:rsid w:val="00205BD5"/>
    <w:rsid w:val="00225468"/>
    <w:rsid w:val="00233AAC"/>
    <w:rsid w:val="00234E6C"/>
    <w:rsid w:val="00241399"/>
    <w:rsid w:val="0024604C"/>
    <w:rsid w:val="002827AB"/>
    <w:rsid w:val="002B6B4E"/>
    <w:rsid w:val="002C789B"/>
    <w:rsid w:val="002E06F8"/>
    <w:rsid w:val="003209F3"/>
    <w:rsid w:val="00330422"/>
    <w:rsid w:val="00377118"/>
    <w:rsid w:val="00385FB5"/>
    <w:rsid w:val="00397853"/>
    <w:rsid w:val="003C2E66"/>
    <w:rsid w:val="003C2FB7"/>
    <w:rsid w:val="003F0C1A"/>
    <w:rsid w:val="004432F6"/>
    <w:rsid w:val="00445779"/>
    <w:rsid w:val="00463CC3"/>
    <w:rsid w:val="00470384"/>
    <w:rsid w:val="004839EA"/>
    <w:rsid w:val="00485095"/>
    <w:rsid w:val="004978CF"/>
    <w:rsid w:val="004A06E6"/>
    <w:rsid w:val="004A48E7"/>
    <w:rsid w:val="004B21B4"/>
    <w:rsid w:val="005177C0"/>
    <w:rsid w:val="00554B93"/>
    <w:rsid w:val="00555AC2"/>
    <w:rsid w:val="005A5A6F"/>
    <w:rsid w:val="005C7BEC"/>
    <w:rsid w:val="005E6966"/>
    <w:rsid w:val="00603844"/>
    <w:rsid w:val="00634892"/>
    <w:rsid w:val="00637B07"/>
    <w:rsid w:val="006644E1"/>
    <w:rsid w:val="00667FBF"/>
    <w:rsid w:val="00671E41"/>
    <w:rsid w:val="00686622"/>
    <w:rsid w:val="006F6F50"/>
    <w:rsid w:val="00703B80"/>
    <w:rsid w:val="00716577"/>
    <w:rsid w:val="00730453"/>
    <w:rsid w:val="00730A7E"/>
    <w:rsid w:val="00736DA1"/>
    <w:rsid w:val="00767175"/>
    <w:rsid w:val="0078520C"/>
    <w:rsid w:val="00793FD8"/>
    <w:rsid w:val="007949D8"/>
    <w:rsid w:val="007B1A38"/>
    <w:rsid w:val="007D3629"/>
    <w:rsid w:val="007F6C94"/>
    <w:rsid w:val="00824AF2"/>
    <w:rsid w:val="00880AAF"/>
    <w:rsid w:val="008B2A22"/>
    <w:rsid w:val="008D6DB7"/>
    <w:rsid w:val="008E7DC2"/>
    <w:rsid w:val="00902A23"/>
    <w:rsid w:val="009112BB"/>
    <w:rsid w:val="00930314"/>
    <w:rsid w:val="0094693B"/>
    <w:rsid w:val="00951B16"/>
    <w:rsid w:val="00966680"/>
    <w:rsid w:val="009811C7"/>
    <w:rsid w:val="00992744"/>
    <w:rsid w:val="009A0384"/>
    <w:rsid w:val="009B3814"/>
    <w:rsid w:val="009F0B5B"/>
    <w:rsid w:val="009F5B39"/>
    <w:rsid w:val="009F7CA5"/>
    <w:rsid w:val="009F7FA0"/>
    <w:rsid w:val="00A31629"/>
    <w:rsid w:val="00A322BA"/>
    <w:rsid w:val="00A34090"/>
    <w:rsid w:val="00A35D62"/>
    <w:rsid w:val="00A41920"/>
    <w:rsid w:val="00A8779C"/>
    <w:rsid w:val="00AE5531"/>
    <w:rsid w:val="00B1748F"/>
    <w:rsid w:val="00B41AA4"/>
    <w:rsid w:val="00B575F2"/>
    <w:rsid w:val="00B65A19"/>
    <w:rsid w:val="00B7013E"/>
    <w:rsid w:val="00B81A74"/>
    <w:rsid w:val="00B9573E"/>
    <w:rsid w:val="00BA0555"/>
    <w:rsid w:val="00BA5798"/>
    <w:rsid w:val="00BB2768"/>
    <w:rsid w:val="00BD23D5"/>
    <w:rsid w:val="00BF63C4"/>
    <w:rsid w:val="00C5360B"/>
    <w:rsid w:val="00C62CC5"/>
    <w:rsid w:val="00C72D50"/>
    <w:rsid w:val="00C75F8D"/>
    <w:rsid w:val="00C76CCB"/>
    <w:rsid w:val="00C93C36"/>
    <w:rsid w:val="00CB3B88"/>
    <w:rsid w:val="00CC6321"/>
    <w:rsid w:val="00CC6FE8"/>
    <w:rsid w:val="00CD5536"/>
    <w:rsid w:val="00CD5A41"/>
    <w:rsid w:val="00CD6E6A"/>
    <w:rsid w:val="00CE52C8"/>
    <w:rsid w:val="00CF5AE9"/>
    <w:rsid w:val="00D0108B"/>
    <w:rsid w:val="00D43FE8"/>
    <w:rsid w:val="00D56F1C"/>
    <w:rsid w:val="00D63E2A"/>
    <w:rsid w:val="00D76656"/>
    <w:rsid w:val="00D77F15"/>
    <w:rsid w:val="00D958DE"/>
    <w:rsid w:val="00DA3FF1"/>
    <w:rsid w:val="00DC004C"/>
    <w:rsid w:val="00DE4754"/>
    <w:rsid w:val="00E1560D"/>
    <w:rsid w:val="00E23FAD"/>
    <w:rsid w:val="00E30CF0"/>
    <w:rsid w:val="00E52188"/>
    <w:rsid w:val="00EA43FF"/>
    <w:rsid w:val="00EC5685"/>
    <w:rsid w:val="00EF7FEC"/>
    <w:rsid w:val="00F00B12"/>
    <w:rsid w:val="00F02061"/>
    <w:rsid w:val="00F72C6E"/>
    <w:rsid w:val="00F73F58"/>
    <w:rsid w:val="00FC3183"/>
    <w:rsid w:val="01915353"/>
    <w:rsid w:val="03AF34A2"/>
    <w:rsid w:val="05205355"/>
    <w:rsid w:val="05B22471"/>
    <w:rsid w:val="05D753FB"/>
    <w:rsid w:val="060374E1"/>
    <w:rsid w:val="062D2BD2"/>
    <w:rsid w:val="07A3662E"/>
    <w:rsid w:val="08103D86"/>
    <w:rsid w:val="099C3C23"/>
    <w:rsid w:val="0AD33DF1"/>
    <w:rsid w:val="0AE05D93"/>
    <w:rsid w:val="0E92577A"/>
    <w:rsid w:val="0F5D0D6A"/>
    <w:rsid w:val="10D83D2F"/>
    <w:rsid w:val="12A00859"/>
    <w:rsid w:val="139136E3"/>
    <w:rsid w:val="15E4163C"/>
    <w:rsid w:val="16BE6781"/>
    <w:rsid w:val="19B24454"/>
    <w:rsid w:val="1B302111"/>
    <w:rsid w:val="1CEA64F7"/>
    <w:rsid w:val="1D124FAA"/>
    <w:rsid w:val="1E8B6479"/>
    <w:rsid w:val="1EA64688"/>
    <w:rsid w:val="1F7F279A"/>
    <w:rsid w:val="1FA64B6F"/>
    <w:rsid w:val="1FBF0576"/>
    <w:rsid w:val="1FE32AA5"/>
    <w:rsid w:val="223775AC"/>
    <w:rsid w:val="228864EB"/>
    <w:rsid w:val="23062BEE"/>
    <w:rsid w:val="238C54B4"/>
    <w:rsid w:val="23DB1D7E"/>
    <w:rsid w:val="260B328E"/>
    <w:rsid w:val="262E6DDF"/>
    <w:rsid w:val="26927132"/>
    <w:rsid w:val="2696522C"/>
    <w:rsid w:val="277B0325"/>
    <w:rsid w:val="28C07367"/>
    <w:rsid w:val="2E5A64A6"/>
    <w:rsid w:val="2ED0528E"/>
    <w:rsid w:val="2F6A4ABB"/>
    <w:rsid w:val="2F91426B"/>
    <w:rsid w:val="2FBB4B02"/>
    <w:rsid w:val="30080929"/>
    <w:rsid w:val="306C4742"/>
    <w:rsid w:val="30724F1D"/>
    <w:rsid w:val="30CA240F"/>
    <w:rsid w:val="31726B84"/>
    <w:rsid w:val="31E95A9D"/>
    <w:rsid w:val="32D6725D"/>
    <w:rsid w:val="344174D5"/>
    <w:rsid w:val="38696D97"/>
    <w:rsid w:val="389D5118"/>
    <w:rsid w:val="3BBF6B5C"/>
    <w:rsid w:val="3D363475"/>
    <w:rsid w:val="40E30EA6"/>
    <w:rsid w:val="43875DE9"/>
    <w:rsid w:val="43C53B2C"/>
    <w:rsid w:val="44607C67"/>
    <w:rsid w:val="44C24A6A"/>
    <w:rsid w:val="456B6D47"/>
    <w:rsid w:val="481534E4"/>
    <w:rsid w:val="48D811F5"/>
    <w:rsid w:val="4A335C52"/>
    <w:rsid w:val="4BE91108"/>
    <w:rsid w:val="4D7C3E67"/>
    <w:rsid w:val="4E3F6818"/>
    <w:rsid w:val="4E472C87"/>
    <w:rsid w:val="4E5A19FE"/>
    <w:rsid w:val="4FEA4CC3"/>
    <w:rsid w:val="51677B95"/>
    <w:rsid w:val="52631F37"/>
    <w:rsid w:val="544E40F9"/>
    <w:rsid w:val="54DC48C5"/>
    <w:rsid w:val="562E1412"/>
    <w:rsid w:val="576C6887"/>
    <w:rsid w:val="5965519C"/>
    <w:rsid w:val="5A9D3738"/>
    <w:rsid w:val="5AA07905"/>
    <w:rsid w:val="5B542369"/>
    <w:rsid w:val="5B554A30"/>
    <w:rsid w:val="5EC1067A"/>
    <w:rsid w:val="5F08407D"/>
    <w:rsid w:val="5F7610AD"/>
    <w:rsid w:val="609142F0"/>
    <w:rsid w:val="60C920E6"/>
    <w:rsid w:val="62737E69"/>
    <w:rsid w:val="63B363F7"/>
    <w:rsid w:val="66827968"/>
    <w:rsid w:val="69D13148"/>
    <w:rsid w:val="6C45775B"/>
    <w:rsid w:val="6C885E12"/>
    <w:rsid w:val="6F1D423F"/>
    <w:rsid w:val="70A93CDE"/>
    <w:rsid w:val="70AD3473"/>
    <w:rsid w:val="70DE346E"/>
    <w:rsid w:val="71D257D0"/>
    <w:rsid w:val="72914351"/>
    <w:rsid w:val="73292CA4"/>
    <w:rsid w:val="732E3974"/>
    <w:rsid w:val="732F36FA"/>
    <w:rsid w:val="75332B1D"/>
    <w:rsid w:val="76E87DFC"/>
    <w:rsid w:val="77343CF4"/>
    <w:rsid w:val="78746025"/>
    <w:rsid w:val="7A96222C"/>
    <w:rsid w:val="7E891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9"/>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0"/>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1"/>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2"/>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1"/>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6"/>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2"/>
    <w:unhideWhenUsed/>
    <w:qFormat/>
    <w:uiPriority w:val="99"/>
    <w:pPr>
      <w:jc w:val="left"/>
    </w:pPr>
  </w:style>
  <w:style w:type="paragraph" w:styleId="16">
    <w:name w:val="Salutation"/>
    <w:basedOn w:val="1"/>
    <w:next w:val="1"/>
    <w:link w:val="63"/>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8"/>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6"/>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0"/>
    <w:qFormat/>
    <w:uiPriority w:val="99"/>
    <w:pPr>
      <w:ind w:left="100" w:leftChars="2500"/>
    </w:pPr>
    <w:rPr>
      <w:rFonts w:ascii="Times New Roman" w:hAnsi="Times New Roman" w:eastAsia="宋体" w:cs="Times New Roman"/>
      <w:szCs w:val="21"/>
    </w:rPr>
  </w:style>
  <w:style w:type="paragraph" w:styleId="25">
    <w:name w:val="endnote text"/>
    <w:basedOn w:val="1"/>
    <w:link w:val="80"/>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4"/>
    <w:unhideWhenUsed/>
    <w:qFormat/>
    <w:uiPriority w:val="99"/>
    <w:rPr>
      <w:sz w:val="18"/>
      <w:szCs w:val="18"/>
    </w:rPr>
  </w:style>
  <w:style w:type="paragraph" w:styleId="27">
    <w:name w:val="footer"/>
    <w:basedOn w:val="1"/>
    <w:link w:val="46"/>
    <w:unhideWhenUsed/>
    <w:qFormat/>
    <w:uiPriority w:val="99"/>
    <w:pPr>
      <w:tabs>
        <w:tab w:val="center" w:pos="4153"/>
        <w:tab w:val="right" w:pos="8306"/>
      </w:tabs>
      <w:snapToGrid w:val="0"/>
      <w:jc w:val="left"/>
    </w:pPr>
    <w:rPr>
      <w:sz w:val="18"/>
      <w:szCs w:val="18"/>
    </w:rPr>
  </w:style>
  <w:style w:type="paragraph" w:styleId="28">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8"/>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3"/>
    <w:unhideWhenUsed/>
    <w:qFormat/>
    <w:uiPriority w:val="99"/>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endnote reference"/>
    <w:basedOn w:val="40"/>
    <w:unhideWhenUsed/>
    <w:qFormat/>
    <w:uiPriority w:val="99"/>
    <w:rPr>
      <w:vertAlign w:val="superscript"/>
    </w:rPr>
  </w:style>
  <w:style w:type="character" w:styleId="42">
    <w:name w:val="page number"/>
    <w:basedOn w:val="40"/>
    <w:qFormat/>
    <w:uiPriority w:val="0"/>
  </w:style>
  <w:style w:type="character" w:styleId="43">
    <w:name w:val="Hyperlink"/>
    <w:basedOn w:val="40"/>
    <w:unhideWhenUsed/>
    <w:qFormat/>
    <w:uiPriority w:val="99"/>
    <w:rPr>
      <w:color w:val="0563C1" w:themeColor="hyperlink"/>
      <w:u w:val="single"/>
    </w:rPr>
  </w:style>
  <w:style w:type="character" w:styleId="44">
    <w:name w:val="annotation reference"/>
    <w:basedOn w:val="40"/>
    <w:unhideWhenUsed/>
    <w:qFormat/>
    <w:uiPriority w:val="0"/>
    <w:rPr>
      <w:sz w:val="21"/>
      <w:szCs w:val="21"/>
    </w:rPr>
  </w:style>
  <w:style w:type="character" w:customStyle="1" w:styleId="45">
    <w:name w:val="页眉 Char"/>
    <w:basedOn w:val="40"/>
    <w:link w:val="28"/>
    <w:qFormat/>
    <w:uiPriority w:val="99"/>
    <w:rPr>
      <w:sz w:val="18"/>
      <w:szCs w:val="18"/>
    </w:rPr>
  </w:style>
  <w:style w:type="character" w:customStyle="1" w:styleId="46">
    <w:name w:val="页脚 Char"/>
    <w:basedOn w:val="40"/>
    <w:link w:val="27"/>
    <w:qFormat/>
    <w:uiPriority w:val="99"/>
    <w:rPr>
      <w:sz w:val="18"/>
      <w:szCs w:val="18"/>
    </w:rPr>
  </w:style>
  <w:style w:type="paragraph" w:customStyle="1" w:styleId="47">
    <w:name w:val="aSTL正文"/>
    <w:basedOn w:val="1"/>
    <w:link w:val="48"/>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8">
    <w:name w:val="aSTL正文 Char"/>
    <w:link w:val="47"/>
    <w:qFormat/>
    <w:uiPriority w:val="0"/>
    <w:rPr>
      <w:rFonts w:ascii="Calibri" w:hAnsi="Calibri" w:eastAsia="宋体" w:cs="Times New Roman"/>
      <w:kern w:val="0"/>
      <w:sz w:val="24"/>
      <w:szCs w:val="20"/>
      <w:lang w:val="zh-CN" w:eastAsia="zh-CN"/>
    </w:rPr>
  </w:style>
  <w:style w:type="paragraph" w:customStyle="1" w:styleId="49">
    <w:name w:val="4.1.1.1.1"/>
    <w:basedOn w:val="1"/>
    <w:link w:val="50"/>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0">
    <w:name w:val="4.1.1.1.1 Char"/>
    <w:link w:val="49"/>
    <w:qFormat/>
    <w:uiPriority w:val="0"/>
    <w:rPr>
      <w:rFonts w:ascii="宋体" w:hAnsi="宋体" w:eastAsia="宋体" w:cs="Times New Roman"/>
      <w:b/>
      <w:color w:val="000000"/>
      <w:kern w:val="0"/>
      <w:sz w:val="24"/>
      <w:szCs w:val="24"/>
      <w:lang w:val="zh-CN" w:eastAsia="zh-CN"/>
    </w:rPr>
  </w:style>
  <w:style w:type="paragraph" w:styleId="51">
    <w:name w:val="List Paragraph"/>
    <w:basedOn w:val="1"/>
    <w:qFormat/>
    <w:uiPriority w:val="34"/>
    <w:pPr>
      <w:ind w:firstLine="420" w:firstLineChars="200"/>
    </w:pPr>
    <w:rPr>
      <w:rFonts w:ascii="Calibri" w:hAnsi="Calibri" w:eastAsia="宋体" w:cs="Times New Roman"/>
    </w:rPr>
  </w:style>
  <w:style w:type="character" w:customStyle="1" w:styleId="52">
    <w:name w:val="批注文字 Char"/>
    <w:basedOn w:val="40"/>
    <w:link w:val="15"/>
    <w:qFormat/>
    <w:uiPriority w:val="99"/>
  </w:style>
  <w:style w:type="character" w:customStyle="1" w:styleId="53">
    <w:name w:val="批注主题 Char"/>
    <w:basedOn w:val="52"/>
    <w:link w:val="37"/>
    <w:qFormat/>
    <w:uiPriority w:val="99"/>
    <w:rPr>
      <w:b/>
      <w:bCs/>
    </w:rPr>
  </w:style>
  <w:style w:type="character" w:customStyle="1" w:styleId="54">
    <w:name w:val="批注框文本 Char"/>
    <w:basedOn w:val="40"/>
    <w:link w:val="26"/>
    <w:qFormat/>
    <w:uiPriority w:val="99"/>
    <w:rPr>
      <w:sz w:val="18"/>
      <w:szCs w:val="18"/>
    </w:rPr>
  </w:style>
  <w:style w:type="character" w:customStyle="1" w:styleId="55">
    <w:name w:val="标题 1 Char"/>
    <w:basedOn w:val="40"/>
    <w:link w:val="2"/>
    <w:qFormat/>
    <w:uiPriority w:val="99"/>
    <w:rPr>
      <w:b/>
      <w:bCs/>
      <w:kern w:val="44"/>
      <w:sz w:val="44"/>
      <w:szCs w:val="44"/>
    </w:rPr>
  </w:style>
  <w:style w:type="paragraph" w:customStyle="1" w:styleId="5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7">
    <w:name w:val="标题 2 Char"/>
    <w:basedOn w:val="40"/>
    <w:link w:val="3"/>
    <w:qFormat/>
    <w:uiPriority w:val="0"/>
    <w:rPr>
      <w:rFonts w:asciiTheme="majorHAnsi" w:hAnsiTheme="majorHAnsi" w:eastAsiaTheme="majorEastAsia" w:cstheme="majorBidi"/>
      <w:b/>
      <w:bCs/>
      <w:sz w:val="32"/>
      <w:szCs w:val="32"/>
    </w:rPr>
  </w:style>
  <w:style w:type="character" w:customStyle="1" w:styleId="58">
    <w:name w:val="标题 3 Char"/>
    <w:basedOn w:val="40"/>
    <w:link w:val="4"/>
    <w:qFormat/>
    <w:uiPriority w:val="9"/>
    <w:rPr>
      <w:rFonts w:ascii="Calibri" w:hAnsi="Calibri" w:eastAsia="宋体" w:cs="Times New Roman"/>
      <w:b/>
      <w:bCs/>
      <w:szCs w:val="32"/>
    </w:rPr>
  </w:style>
  <w:style w:type="character" w:customStyle="1" w:styleId="59">
    <w:name w:val="标题 4 Char"/>
    <w:basedOn w:val="40"/>
    <w:link w:val="5"/>
    <w:qFormat/>
    <w:uiPriority w:val="9"/>
    <w:rPr>
      <w:rFonts w:ascii="Cambria" w:hAnsi="Cambria" w:eastAsia="宋体" w:cs="Times New Roman"/>
      <w:b/>
      <w:bCs/>
      <w:szCs w:val="28"/>
    </w:rPr>
  </w:style>
  <w:style w:type="character" w:customStyle="1" w:styleId="60">
    <w:name w:val="标题 5 Char"/>
    <w:basedOn w:val="40"/>
    <w:link w:val="6"/>
    <w:qFormat/>
    <w:uiPriority w:val="9"/>
    <w:rPr>
      <w:rFonts w:ascii="Calibri" w:hAnsi="Calibri" w:eastAsia="宋体" w:cs="Times New Roman"/>
      <w:b/>
      <w:bCs/>
      <w:szCs w:val="28"/>
    </w:rPr>
  </w:style>
  <w:style w:type="character" w:customStyle="1" w:styleId="61">
    <w:name w:val="标题 6 Char"/>
    <w:basedOn w:val="40"/>
    <w:link w:val="7"/>
    <w:qFormat/>
    <w:uiPriority w:val="9"/>
    <w:rPr>
      <w:rFonts w:eastAsia="宋体" w:asciiTheme="majorHAnsi" w:hAnsiTheme="majorHAnsi" w:cstheme="majorBidi"/>
      <w:b/>
      <w:bCs/>
      <w:kern w:val="0"/>
      <w:szCs w:val="24"/>
    </w:rPr>
  </w:style>
  <w:style w:type="character" w:customStyle="1" w:styleId="62">
    <w:name w:val="标题 7 Char"/>
    <w:basedOn w:val="40"/>
    <w:link w:val="8"/>
    <w:qFormat/>
    <w:uiPriority w:val="9"/>
    <w:rPr>
      <w:rFonts w:ascii="宋体" w:hAnsi="宋体" w:eastAsia="宋体" w:cs="宋体"/>
      <w:b/>
      <w:bCs/>
      <w:kern w:val="0"/>
      <w:sz w:val="24"/>
      <w:szCs w:val="24"/>
    </w:rPr>
  </w:style>
  <w:style w:type="character" w:customStyle="1" w:styleId="63">
    <w:name w:val="称呼 Char"/>
    <w:basedOn w:val="40"/>
    <w:link w:val="16"/>
    <w:qFormat/>
    <w:uiPriority w:val="99"/>
    <w:rPr>
      <w:rFonts w:ascii="Times New Roman" w:hAnsi="Times New Roman" w:eastAsia="宋体" w:cs="Times New Roman"/>
      <w:szCs w:val="21"/>
    </w:rPr>
  </w:style>
  <w:style w:type="character" w:customStyle="1" w:styleId="64">
    <w:name w:val="notnullcss1"/>
    <w:basedOn w:val="40"/>
    <w:qFormat/>
    <w:uiPriority w:val="99"/>
    <w:rPr>
      <w:rFonts w:eastAsia="宋体" w:cs="Times New Roman"/>
      <w:color w:val="FF0000"/>
      <w:kern w:val="2"/>
      <w:sz w:val="24"/>
      <w:szCs w:val="24"/>
      <w:lang w:val="en-US" w:eastAsia="zh-CN" w:bidi="ar-SA"/>
    </w:rPr>
  </w:style>
  <w:style w:type="paragraph" w:customStyle="1" w:styleId="65">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6">
    <w:name w:val="纯文本 Char"/>
    <w:basedOn w:val="40"/>
    <w:link w:val="22"/>
    <w:qFormat/>
    <w:uiPriority w:val="0"/>
    <w:rPr>
      <w:rFonts w:ascii="宋体" w:hAnsi="Courier New" w:eastAsia="宋体" w:cs="Times New Roman"/>
      <w:szCs w:val="20"/>
    </w:rPr>
  </w:style>
  <w:style w:type="character" w:customStyle="1" w:styleId="67">
    <w:name w:val="headline-content2"/>
    <w:basedOn w:val="40"/>
    <w:qFormat/>
    <w:uiPriority w:val="0"/>
    <w:rPr>
      <w:rFonts w:eastAsia="宋体" w:cs="Times New Roman"/>
      <w:kern w:val="2"/>
      <w:sz w:val="24"/>
      <w:szCs w:val="24"/>
      <w:lang w:val="en-US" w:eastAsia="zh-CN" w:bidi="ar-SA"/>
    </w:rPr>
  </w:style>
  <w:style w:type="character" w:customStyle="1" w:styleId="68">
    <w:name w:val="正文文本 Char"/>
    <w:basedOn w:val="40"/>
    <w:link w:val="18"/>
    <w:qFormat/>
    <w:uiPriority w:val="99"/>
    <w:rPr>
      <w:rFonts w:ascii="Times New Roman" w:hAnsi="Times New Roman" w:eastAsia="宋体" w:cs="Times New Roman"/>
      <w:szCs w:val="21"/>
    </w:rPr>
  </w:style>
  <w:style w:type="paragraph" w:customStyle="1" w:styleId="69">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0">
    <w:name w:val="日期 Char"/>
    <w:basedOn w:val="40"/>
    <w:link w:val="24"/>
    <w:qFormat/>
    <w:uiPriority w:val="99"/>
    <w:rPr>
      <w:rFonts w:ascii="Times New Roman" w:hAnsi="Times New Roman" w:eastAsia="宋体" w:cs="Times New Roman"/>
      <w:szCs w:val="21"/>
    </w:rPr>
  </w:style>
  <w:style w:type="character" w:customStyle="1" w:styleId="71">
    <w:name w:val="注释标题 Char"/>
    <w:basedOn w:val="40"/>
    <w:link w:val="10"/>
    <w:qFormat/>
    <w:uiPriority w:val="99"/>
    <w:rPr>
      <w:rFonts w:ascii="Times New Roman" w:hAnsi="Times New Roman" w:eastAsia="宋体" w:cs="Times New Roman"/>
      <w:szCs w:val="21"/>
    </w:rPr>
  </w:style>
  <w:style w:type="paragraph" w:customStyle="1" w:styleId="72">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3">
    <w:name w:val="修订1"/>
    <w:hidden/>
    <w:semiHidden/>
    <w:qFormat/>
    <w:uiPriority w:val="99"/>
    <w:rPr>
      <w:rFonts w:ascii="Calibri" w:hAnsi="Calibri" w:eastAsia="宋体" w:cs="Times New Roman"/>
      <w:kern w:val="2"/>
      <w:sz w:val="21"/>
      <w:szCs w:val="22"/>
      <w:lang w:val="en-US" w:eastAsia="zh-CN" w:bidi="ar-SA"/>
    </w:rPr>
  </w:style>
  <w:style w:type="character" w:customStyle="1" w:styleId="74">
    <w:name w:val="正文的样式 Char"/>
    <w:basedOn w:val="40"/>
    <w:link w:val="75"/>
    <w:qFormat/>
    <w:uiPriority w:val="0"/>
    <w:rPr>
      <w:szCs w:val="24"/>
    </w:rPr>
  </w:style>
  <w:style w:type="paragraph" w:customStyle="1" w:styleId="75">
    <w:name w:val="正文的样式"/>
    <w:basedOn w:val="1"/>
    <w:link w:val="74"/>
    <w:qFormat/>
    <w:uiPriority w:val="0"/>
    <w:pPr>
      <w:spacing w:before="100" w:after="100"/>
    </w:pPr>
    <w:rPr>
      <w:szCs w:val="24"/>
    </w:rPr>
  </w:style>
  <w:style w:type="character" w:customStyle="1" w:styleId="76">
    <w:name w:val="文档结构图 Char"/>
    <w:basedOn w:val="40"/>
    <w:link w:val="13"/>
    <w:semiHidden/>
    <w:qFormat/>
    <w:uiPriority w:val="99"/>
    <w:rPr>
      <w:rFonts w:ascii="宋体" w:hAnsi="Calibri" w:eastAsia="宋体" w:cs="Times New Roman"/>
      <w:sz w:val="18"/>
      <w:szCs w:val="18"/>
    </w:rPr>
  </w:style>
  <w:style w:type="character" w:styleId="77">
    <w:name w:val="Placeholder Text"/>
    <w:basedOn w:val="40"/>
    <w:semiHidden/>
    <w:qFormat/>
    <w:uiPriority w:val="99"/>
    <w:rPr>
      <w:color w:val="auto"/>
    </w:rPr>
  </w:style>
  <w:style w:type="character" w:customStyle="1" w:styleId="78">
    <w:name w:val="标题 Char"/>
    <w:basedOn w:val="40"/>
    <w:link w:val="36"/>
    <w:qFormat/>
    <w:uiPriority w:val="0"/>
    <w:rPr>
      <w:rFonts w:eastAsia="宋体" w:asciiTheme="majorHAnsi" w:hAnsiTheme="majorHAnsi" w:cstheme="majorBidi"/>
      <w:b/>
      <w:bCs/>
      <w:sz w:val="32"/>
      <w:szCs w:val="32"/>
    </w:rPr>
  </w:style>
  <w:style w:type="paragraph" w:styleId="7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0">
    <w:name w:val="尾注文本 Char"/>
    <w:basedOn w:val="40"/>
    <w:link w:val="25"/>
    <w:semiHidden/>
    <w:qFormat/>
    <w:uiPriority w:val="99"/>
    <w:rPr>
      <w:rFonts w:ascii="宋体" w:hAnsi="宋体" w:eastAsia="宋体" w:cs="宋体"/>
      <w:kern w:val="0"/>
      <w:szCs w:val="24"/>
    </w:rPr>
  </w:style>
  <w:style w:type="character" w:customStyle="1" w:styleId="81">
    <w:name w:val="批注主题 Char1"/>
    <w:basedOn w:val="52"/>
    <w:semiHidden/>
    <w:qFormat/>
    <w:uiPriority w:val="99"/>
    <w:rPr>
      <w:rFonts w:ascii="Times New Roman" w:hAnsi="Times New Roman" w:eastAsia="宋体" w:cs="Times New Roman"/>
      <w:b/>
      <w:bCs/>
      <w:szCs w:val="21"/>
    </w:rPr>
  </w:style>
  <w:style w:type="character" w:customStyle="1" w:styleId="82">
    <w:name w:val="span_"/>
    <w:basedOn w:val="40"/>
    <w:qFormat/>
    <w:uiPriority w:val="0"/>
  </w:style>
  <w:style w:type="paragraph" w:customStyle="1" w:styleId="83">
    <w:name w:val="标题  3"/>
    <w:basedOn w:val="1"/>
    <w:next w:val="1"/>
    <w:link w:val="84"/>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4">
    <w:name w:val="标题  3 Char"/>
    <w:basedOn w:val="40"/>
    <w:link w:val="83"/>
    <w:qFormat/>
    <w:uiPriority w:val="0"/>
    <w:rPr>
      <w:rFonts w:ascii="Times New Roman" w:hAnsi="Times New Roman" w:eastAsia="宋体" w:cs="Times New Roman"/>
      <w:b/>
      <w:szCs w:val="24"/>
    </w:rPr>
  </w:style>
  <w:style w:type="paragraph" w:customStyle="1" w:styleId="85">
    <w:name w:val="列出段落1"/>
    <w:basedOn w:val="1"/>
    <w:qFormat/>
    <w:uiPriority w:val="0"/>
    <w:pPr>
      <w:ind w:firstLine="420" w:firstLineChars="200"/>
    </w:pPr>
    <w:rPr>
      <w:rFonts w:ascii="Calibri" w:hAnsi="Calibri" w:eastAsia="宋体" w:cs="Calibri"/>
      <w:szCs w:val="21"/>
    </w:rPr>
  </w:style>
  <w:style w:type="paragraph" w:customStyle="1" w:styleId="86">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8">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9">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0">
    <w:name w:val="前言标题"/>
    <w:basedOn w:val="3"/>
    <w:link w:val="92"/>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1">
    <w:name w:val="前言大标题"/>
    <w:basedOn w:val="2"/>
    <w:link w:val="93"/>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2">
    <w:name w:val="前言标题 Char"/>
    <w:basedOn w:val="40"/>
    <w:link w:val="90"/>
    <w:qFormat/>
    <w:uiPriority w:val="0"/>
    <w:rPr>
      <w:rFonts w:eastAsia="黑体"/>
      <w:bCs/>
      <w:kern w:val="2"/>
      <w:sz w:val="21"/>
      <w:szCs w:val="32"/>
    </w:rPr>
  </w:style>
  <w:style w:type="character" w:customStyle="1" w:styleId="93">
    <w:name w:val="前言大标题 Char"/>
    <w:link w:val="91"/>
    <w:qFormat/>
    <w:uiPriority w:val="0"/>
    <w:rPr>
      <w:rFonts w:eastAsia="黑体"/>
      <w:bCs/>
      <w:kern w:val="44"/>
      <w:sz w:val="32"/>
      <w:szCs w:val="44"/>
    </w:rPr>
  </w:style>
  <w:style w:type="character" w:customStyle="1" w:styleId="94">
    <w:name w:val="正文文本 (2)"/>
    <w:basedOn w:val="40"/>
    <w:qFormat/>
    <w:uiPriority w:val="0"/>
    <w:rPr>
      <w:rFonts w:ascii="MingLiU" w:hAnsi="MingLiU" w:eastAsia="MingLiU" w:cs="MingLiU"/>
      <w:color w:val="808080"/>
      <w:spacing w:val="0"/>
      <w:w w:val="100"/>
      <w:position w:val="0"/>
      <w:sz w:val="21"/>
      <w:szCs w:val="21"/>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85480-EA64-4709-A618-B383AE025817}">
  <ds:schemaRefs/>
</ds:datastoreItem>
</file>

<file path=customXml/itemProps3.xml><?xml version="1.0" encoding="utf-8"?>
<ds:datastoreItem xmlns:ds="http://schemas.openxmlformats.org/officeDocument/2006/customXml" ds:itemID="{C5D7E463-A10F-494B-AAC3-043C8AA8F383}">
  <ds:schemaRefs/>
</ds:datastoreItem>
</file>

<file path=customXml/itemProps4.xml><?xml version="1.0" encoding="utf-8"?>
<ds:datastoreItem xmlns:ds="http://schemas.openxmlformats.org/officeDocument/2006/customXml" ds:itemID="{6BC0C85B-024C-49A1-89CA-1A1A3B0F41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908</Words>
  <Characters>5178</Characters>
  <Lines>43</Lines>
  <Paragraphs>12</Paragraphs>
  <TotalTime>16</TotalTime>
  <ScaleCrop>false</ScaleCrop>
  <LinksUpToDate>false</LinksUpToDate>
  <CharactersWithSpaces>6074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2019-11-19T12:21:00Z</dcterms:created>
  <dc:creator>Meng Tang</dc:creator>
  <cp:lastModifiedBy>星星点灯</cp:lastModifiedBy>
  <cp:lastPrinted>2021-12-02T01:42:00Z</cp:lastPrinted>
  <dcterms:modified xsi:type="dcterms:W3CDTF">2021-12-12T00:35:15Z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3B2C772A65274C03B5D776F45ACDE02B</vt:lpwstr>
  </property>
</Properties>
</file>